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C0324C" w14:paraId="3E81E1F2" w14:textId="77777777" w:rsidTr="005F6458">
        <w:trPr>
          <w:trHeight w:val="762"/>
        </w:trPr>
        <w:tc>
          <w:tcPr>
            <w:tcW w:w="5046" w:type="dxa"/>
          </w:tcPr>
          <w:p w14:paraId="3E81E1EF" w14:textId="20D7568B" w:rsidR="00410C1E" w:rsidRPr="006A761D" w:rsidRDefault="00714D0B" w:rsidP="00714D0B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8F0E81" w:rsidRPr="0099365E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001FC647" wp14:editId="5E0640FF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3E81E1F0" w14:textId="77777777" w:rsidR="00410C1E" w:rsidRPr="006A761D" w:rsidRDefault="00714D0B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2099569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3E81E1F1" w14:textId="77777777" w:rsidR="00410C1E" w:rsidRPr="006A761D" w:rsidRDefault="008F0E81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3E81E1F8" w14:textId="77777777" w:rsidR="00410C1E" w:rsidRDefault="008F0E81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59AE4999" w14:textId="6A52AC61" w:rsidR="00714D0B" w:rsidRDefault="00714D0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6B221BCD" w14:textId="77777777" w:rsidR="008F0E81" w:rsidRPr="008F0E81" w:rsidRDefault="008F0E81" w:rsidP="008F0E81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8F0E81">
        <w:rPr>
          <w:rFonts w:ascii="Arial" w:hAnsi="Arial" w:cs="Arial"/>
          <w:iCs/>
          <w:lang w:val="pl-PL"/>
        </w:rPr>
        <w:t>R E P U B L I K A  H R V A T S K A</w:t>
      </w:r>
    </w:p>
    <w:p w14:paraId="169177DE" w14:textId="77777777" w:rsidR="008F0E81" w:rsidRPr="008F0E81" w:rsidRDefault="008F0E81" w:rsidP="008F0E81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8F0E81">
        <w:rPr>
          <w:rFonts w:ascii="Arial" w:hAnsi="Arial" w:cs="Arial"/>
          <w:iCs/>
          <w:lang w:val="pl-PL"/>
        </w:rPr>
        <w:t xml:space="preserve">   SPLITSKO-DALMATINSKA ŽUPANIJA</w:t>
      </w:r>
    </w:p>
    <w:p w14:paraId="65B044CE" w14:textId="77777777" w:rsidR="008F0E81" w:rsidRPr="008F0E81" w:rsidRDefault="008F0E81" w:rsidP="008F0E81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8F0E81">
        <w:rPr>
          <w:rFonts w:ascii="Arial" w:hAnsi="Arial" w:cs="Arial"/>
          <w:iCs/>
          <w:lang w:val="pl-PL"/>
        </w:rPr>
        <w:t xml:space="preserve">                GRAD SPLIT</w:t>
      </w:r>
    </w:p>
    <w:p w14:paraId="364C85C7" w14:textId="77777777" w:rsidR="008F0E81" w:rsidRPr="008F0E81" w:rsidRDefault="008F0E81" w:rsidP="008F0E81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8F0E81">
        <w:rPr>
          <w:rFonts w:ascii="Arial" w:hAnsi="Arial" w:cs="Arial"/>
          <w:iCs/>
          <w:lang w:val="pl-PL"/>
        </w:rPr>
        <w:t xml:space="preserve">        GRADONAČELNIK</w:t>
      </w:r>
    </w:p>
    <w:p w14:paraId="333EE5D9" w14:textId="77777777" w:rsidR="00714D0B" w:rsidRDefault="00714D0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07C86CA9" w14:textId="77777777" w:rsidR="00714D0B" w:rsidRDefault="00714D0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3E81E1F9" w14:textId="77777777" w:rsidR="0098666F" w:rsidRPr="00410C1E" w:rsidRDefault="00714D0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330-05/19-01/267</w:t>
      </w:r>
      <w:r w:rsidRPr="0092088C">
        <w:rPr>
          <w:rFonts w:ascii="Arial" w:hAnsi="Arial"/>
        </w:rPr>
        <w:fldChar w:fldCharType="end"/>
      </w:r>
      <w:bookmarkEnd w:id="0"/>
    </w:p>
    <w:p w14:paraId="3E81E1FA" w14:textId="77777777" w:rsidR="0098666F" w:rsidRPr="0092088C" w:rsidRDefault="00714D0B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2181/01-09-02/19-19-6</w:t>
      </w:r>
      <w:r w:rsidRPr="0092088C">
        <w:rPr>
          <w:rFonts w:ascii="Arial" w:hAnsi="Arial"/>
        </w:rPr>
        <w:fldChar w:fldCharType="end"/>
      </w:r>
      <w:bookmarkEnd w:id="1"/>
    </w:p>
    <w:p w14:paraId="3E81E1FB" w14:textId="77777777" w:rsidR="0098666F" w:rsidRPr="0092088C" w:rsidRDefault="00714D0B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27. kolovoza 2019.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20494646" w14:textId="77777777" w:rsidR="00714D0B" w:rsidRDefault="00714D0B" w:rsidP="00714D0B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36199F95" w14:textId="4BFF9A09" w:rsidR="00714D0B" w:rsidRDefault="00714D0B" w:rsidP="00714D0B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Na temelju članka 15. Zakona o javnoj nabavi („Narodne novine“ broj 120/16), članka 52. Statuta Grada Splita („Službeni glasnik Grada Splita“ broj 17/09, 11/10, 18/13, 39/13, 46/13 - pročišćeni tekst i 11/18) i Pravilnika o provedbi postupaka jednostavne nabave („Službeni glasnik Grada Splita“ broj 4/17), Gradonačelnik Grada Splita dana 27. kolovoza 2019. godine, donosi</w:t>
      </w:r>
    </w:p>
    <w:p w14:paraId="100BDACB" w14:textId="77777777" w:rsidR="00714D0B" w:rsidRDefault="00714D0B" w:rsidP="00714D0B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5FB967F4" w14:textId="50A93ACB" w:rsidR="00714D0B" w:rsidRDefault="00714D0B" w:rsidP="00714D0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424165AB" w14:textId="77777777" w:rsidR="00714D0B" w:rsidRDefault="00714D0B" w:rsidP="00714D0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o odabiru ekonomski najpovoljnije ponude u postupku</w:t>
      </w:r>
    </w:p>
    <w:p w14:paraId="66D5F46C" w14:textId="61E62D35" w:rsidR="00714D0B" w:rsidRDefault="00714D0B" w:rsidP="00714D0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val="en-US"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jednostavne nabave sanacije preostale vanjske stolarije u DV Koralj</w:t>
      </w:r>
    </w:p>
    <w:p w14:paraId="07B2CE4C" w14:textId="77777777" w:rsidR="00714D0B" w:rsidRDefault="00714D0B" w:rsidP="00714D0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71A0E2BE" w14:textId="591F989A" w:rsidR="00714D0B" w:rsidRPr="00714D0B" w:rsidRDefault="00714D0B" w:rsidP="00714D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pl-PL"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Prihvaća se prijedlog članova stručnog povjerenstva Naručitelja za pripremu i provedbu postupka jednostavne nabave sanacije preostale vanjske stolarije u DV Koralj u sastavu: Katarina-Nataša Merćep i Mate Omazić, te se odabire ponuda ponuditelja: </w:t>
      </w:r>
      <w:r>
        <w:rPr>
          <w:rFonts w:ascii="Arial" w:eastAsia="Times New Roman" w:hAnsi="Arial" w:cs="Arial"/>
          <w:b/>
          <w:color w:val="000000"/>
          <w:lang w:val="pl-PL" w:eastAsia="hr-HR"/>
        </w:rPr>
        <w:t>Verus pro d.o.o., Vrh Visoke 53, Split, OIB: 43145152517</w:t>
      </w:r>
      <w:r>
        <w:rPr>
          <w:rFonts w:ascii="Arial" w:eastAsia="Times New Roman" w:hAnsi="Arial" w:cs="Arial"/>
          <w:b/>
          <w:color w:val="000000"/>
          <w:lang w:eastAsia="hr-HR"/>
        </w:rPr>
        <w:t>, s cijenom ponude od 149.710,00 kuna (s PDV-om).</w:t>
      </w:r>
    </w:p>
    <w:p w14:paraId="44278883" w14:textId="04719EE8" w:rsidR="00714D0B" w:rsidRDefault="00714D0B" w:rsidP="00714D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Između Grada Splita i Ponuditelja iz točke 1. ovog Zaključka zaključit će se ugovor po objavi ovog Zaključka na internetskim stranicama Naručitelja budući žalba nije dopuštena.</w:t>
      </w:r>
    </w:p>
    <w:p w14:paraId="3BACDC3D" w14:textId="77777777" w:rsidR="00714D0B" w:rsidRDefault="00714D0B" w:rsidP="00714D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 za realizaciju ovog Zaključka.</w:t>
      </w:r>
    </w:p>
    <w:p w14:paraId="7189D10C" w14:textId="15E9E148" w:rsidR="00714D0B" w:rsidRDefault="00714D0B" w:rsidP="00714D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Naručitelja.</w:t>
      </w:r>
    </w:p>
    <w:p w14:paraId="7147895B" w14:textId="77777777" w:rsidR="00714D0B" w:rsidRDefault="00714D0B" w:rsidP="00714D0B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606D59F3" w14:textId="77777777" w:rsidR="00714D0B" w:rsidRDefault="00714D0B" w:rsidP="00714D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2428DF5D" w14:textId="77777777" w:rsidR="00714D0B" w:rsidRDefault="00714D0B" w:rsidP="00714D0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4F0DC62E" w14:textId="77777777" w:rsidR="00714D0B" w:rsidRDefault="00714D0B" w:rsidP="00714D0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5E78B2EB" w14:textId="77777777" w:rsidR="00714D0B" w:rsidRDefault="00714D0B" w:rsidP="00714D0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5774C3E7" w14:textId="4A532AD2" w:rsidR="00714D0B" w:rsidRDefault="00714D0B" w:rsidP="00714D0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8F0E81">
        <w:rPr>
          <w:rFonts w:ascii="Arial" w:eastAsia="Times New Roman" w:hAnsi="Arial" w:cs="Arial"/>
          <w:b/>
          <w:bCs/>
          <w:iCs/>
          <w:lang w:eastAsia="hr-HR"/>
        </w:rPr>
        <w:t>, v.r.</w:t>
      </w:r>
    </w:p>
    <w:p w14:paraId="358C494A" w14:textId="77777777" w:rsidR="00714D0B" w:rsidRDefault="00714D0B" w:rsidP="00714D0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</w:p>
    <w:p w14:paraId="61E46396" w14:textId="77777777" w:rsidR="00714D0B" w:rsidRDefault="00714D0B" w:rsidP="00714D0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1CD6B2E" w14:textId="77777777" w:rsidR="00714D0B" w:rsidRDefault="00714D0B" w:rsidP="00714D0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FD7550E" w14:textId="77777777" w:rsidR="00714D0B" w:rsidRDefault="00714D0B" w:rsidP="00714D0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72E6D9EB" w14:textId="77777777" w:rsidR="00714D0B" w:rsidRDefault="00714D0B" w:rsidP="00714D0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0957697" w14:textId="77777777" w:rsidR="00714D0B" w:rsidRDefault="00714D0B" w:rsidP="00714D0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DOSTAVITI:</w:t>
      </w:r>
    </w:p>
    <w:p w14:paraId="50F33F25" w14:textId="77777777" w:rsidR="00714D0B" w:rsidRDefault="00714D0B" w:rsidP="00714D0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1. Članovima stručnog povjerenstva, svima</w:t>
      </w:r>
    </w:p>
    <w:p w14:paraId="1ECA4270" w14:textId="77777777" w:rsidR="00714D0B" w:rsidRDefault="00714D0B" w:rsidP="00714D0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2. Upravni odjel za financijsko upravljanje i kontroling, ovdje</w:t>
      </w:r>
    </w:p>
    <w:p w14:paraId="50638DEA" w14:textId="77777777" w:rsidR="00714D0B" w:rsidRDefault="00714D0B" w:rsidP="00714D0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3. Uredništvu „Službenog glasnika Grada Splita“, ovdje</w:t>
      </w:r>
    </w:p>
    <w:p w14:paraId="6AB07530" w14:textId="739EA8E1" w:rsidR="00714D0B" w:rsidRPr="008F0E81" w:rsidRDefault="00714D0B" w:rsidP="008F0E81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4. Pismohrani, ovdje</w:t>
      </w:r>
      <w:bookmarkStart w:id="3" w:name="_GoBack"/>
      <w:bookmarkEnd w:id="3"/>
      <w:r>
        <w:rPr>
          <w:rFonts w:ascii="Arial" w:eastAsia="Times New Roman" w:hAnsi="Arial" w:cs="Arial"/>
          <w:lang w:val="en-US" w:eastAsia="hr-HR"/>
        </w:rPr>
        <w:br w:type="page"/>
      </w:r>
    </w:p>
    <w:p w14:paraId="25EC4470" w14:textId="77777777" w:rsidR="00714D0B" w:rsidRDefault="00714D0B" w:rsidP="00714D0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740A4152" w14:textId="77777777" w:rsidR="00714D0B" w:rsidRDefault="00714D0B" w:rsidP="00714D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4878CF50" w14:textId="77777777" w:rsidR="00714D0B" w:rsidRDefault="00714D0B" w:rsidP="00714D0B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b/>
          <w:bCs/>
          <w:iCs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</w:t>
      </w:r>
      <w:r>
        <w:rPr>
          <w:rFonts w:ascii="Arial" w:eastAsia="Times New Roman" w:hAnsi="Arial" w:cs="Arial"/>
          <w:bCs/>
          <w:iCs/>
          <w:lang w:eastAsia="hr-HR"/>
        </w:rPr>
        <w:t>nabave sanacije preostale vanjske stolarije u DV Koralj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Cs/>
          <w:iCs/>
          <w:lang w:eastAsia="hr-HR"/>
        </w:rPr>
        <w:t xml:space="preserve">, </w:t>
      </w:r>
      <w:r>
        <w:rPr>
          <w:rFonts w:ascii="Arial" w:eastAsia="Times New Roman" w:hAnsi="Arial" w:cs="Arial"/>
          <w:iCs/>
          <w:lang w:eastAsia="hr-HR"/>
        </w:rPr>
        <w:t xml:space="preserve">objavljen na internetskim stranicama Grada Splita dana 12. kolovoza 2019. godine. Procijenjena vrijednost nabave iznosi 127.000,00 kn. </w:t>
      </w:r>
    </w:p>
    <w:p w14:paraId="5DB618E3" w14:textId="77777777" w:rsidR="00714D0B" w:rsidRDefault="00714D0B" w:rsidP="00714D0B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>Do roka za dostavu ponuda, dana 22. kolovoza 2019. godine do 10:00 sati pristigle su ukupno 3 (tri) ponude i to ponuditelja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 xml:space="preserve">Ekološki centar d.o.o., Žaluzina d.o.o. i Verus pro d.o.o. </w:t>
      </w:r>
    </w:p>
    <w:p w14:paraId="2DE59ABA" w14:textId="77777777" w:rsidR="00714D0B" w:rsidRDefault="00714D0B" w:rsidP="00714D0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postupku pregleda i ocjene ponuda Naručitelj je sve pristigle ponude ocijenio valjanima i sukladnima Pozivu za dostavu ponuda te ih je rangirao sukladno kriteriju za odabir, najniža cijena. Kako je ponuda ponuditelja </w:t>
      </w:r>
      <w:r>
        <w:rPr>
          <w:rFonts w:ascii="Arial" w:eastAsia="Times New Roman" w:hAnsi="Arial" w:cs="Arial"/>
          <w:lang w:val="pl-PL" w:eastAsia="hr-HR"/>
        </w:rPr>
        <w:t>Verus pro d.o.o.</w:t>
      </w:r>
      <w:r>
        <w:rPr>
          <w:rFonts w:ascii="Arial" w:eastAsia="Times New Roman" w:hAnsi="Arial" w:cs="Arial"/>
          <w:lang w:eastAsia="hr-HR"/>
        </w:rPr>
        <w:t xml:space="preserve">  prvorangirana ponuda, odlučeno je da se s istim sklopi ugovor o nabavi radova.</w:t>
      </w:r>
    </w:p>
    <w:p w14:paraId="5C6D9860" w14:textId="77777777" w:rsidR="00714D0B" w:rsidRDefault="00714D0B" w:rsidP="00714D0B">
      <w:pPr>
        <w:spacing w:after="0"/>
        <w:rPr>
          <w:rFonts w:ascii="Arial" w:hAnsi="Arial"/>
        </w:rPr>
      </w:pPr>
    </w:p>
    <w:p w14:paraId="3E81E213" w14:textId="77777777" w:rsidR="004D6046" w:rsidRPr="0092088C" w:rsidRDefault="008F0E81" w:rsidP="00714D0B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B3820C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FEA28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AE55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89CCB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C7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E1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2E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E7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9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13D657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CCD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BC8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87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3A6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A9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6C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56B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B50FE"/>
    <w:multiLevelType w:val="hybridMultilevel"/>
    <w:tmpl w:val="8222EC90"/>
    <w:lvl w:ilvl="0" w:tplc="63204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CF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7AB3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E0F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099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09E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E2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C7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A292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13320"/>
    <w:multiLevelType w:val="hybridMultilevel"/>
    <w:tmpl w:val="C220BD5A"/>
    <w:lvl w:ilvl="0" w:tplc="D5C48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90BD8A" w:tentative="1">
      <w:start w:val="1"/>
      <w:numFmt w:val="lowerLetter"/>
      <w:lvlText w:val="%2."/>
      <w:lvlJc w:val="left"/>
      <w:pPr>
        <w:ind w:left="1440" w:hanging="360"/>
      </w:pPr>
    </w:lvl>
    <w:lvl w:ilvl="2" w:tplc="D136B3BC" w:tentative="1">
      <w:start w:val="1"/>
      <w:numFmt w:val="lowerRoman"/>
      <w:lvlText w:val="%3."/>
      <w:lvlJc w:val="right"/>
      <w:pPr>
        <w:ind w:left="2160" w:hanging="180"/>
      </w:pPr>
    </w:lvl>
    <w:lvl w:ilvl="3" w:tplc="A3569E5C" w:tentative="1">
      <w:start w:val="1"/>
      <w:numFmt w:val="decimal"/>
      <w:lvlText w:val="%4."/>
      <w:lvlJc w:val="left"/>
      <w:pPr>
        <w:ind w:left="2880" w:hanging="360"/>
      </w:pPr>
    </w:lvl>
    <w:lvl w:ilvl="4" w:tplc="CF1E60B0" w:tentative="1">
      <w:start w:val="1"/>
      <w:numFmt w:val="lowerLetter"/>
      <w:lvlText w:val="%5."/>
      <w:lvlJc w:val="left"/>
      <w:pPr>
        <w:ind w:left="3600" w:hanging="360"/>
      </w:pPr>
    </w:lvl>
    <w:lvl w:ilvl="5" w:tplc="A3B27C5A" w:tentative="1">
      <w:start w:val="1"/>
      <w:numFmt w:val="lowerRoman"/>
      <w:lvlText w:val="%6."/>
      <w:lvlJc w:val="right"/>
      <w:pPr>
        <w:ind w:left="4320" w:hanging="180"/>
      </w:pPr>
    </w:lvl>
    <w:lvl w:ilvl="6" w:tplc="F2D6B6BA" w:tentative="1">
      <w:start w:val="1"/>
      <w:numFmt w:val="decimal"/>
      <w:lvlText w:val="%7."/>
      <w:lvlJc w:val="left"/>
      <w:pPr>
        <w:ind w:left="5040" w:hanging="360"/>
      </w:pPr>
    </w:lvl>
    <w:lvl w:ilvl="7" w:tplc="A82E68D2" w:tentative="1">
      <w:start w:val="1"/>
      <w:numFmt w:val="lowerLetter"/>
      <w:lvlText w:val="%8."/>
      <w:lvlJc w:val="left"/>
      <w:pPr>
        <w:ind w:left="5760" w:hanging="360"/>
      </w:pPr>
    </w:lvl>
    <w:lvl w:ilvl="8" w:tplc="B172D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51F"/>
    <w:multiLevelType w:val="hybridMultilevel"/>
    <w:tmpl w:val="5E2ACCE2"/>
    <w:lvl w:ilvl="0" w:tplc="F914366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CF665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45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CE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2F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C60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A3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28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04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E55"/>
    <w:multiLevelType w:val="hybridMultilevel"/>
    <w:tmpl w:val="248C5A28"/>
    <w:lvl w:ilvl="0" w:tplc="E62CDF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A56A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63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6A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6A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86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60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27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86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439E"/>
    <w:multiLevelType w:val="hybridMultilevel"/>
    <w:tmpl w:val="C0B21E32"/>
    <w:lvl w:ilvl="0" w:tplc="1886173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CCAF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68B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48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25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F2E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0E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02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6A0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0D0"/>
    <w:multiLevelType w:val="hybridMultilevel"/>
    <w:tmpl w:val="2D4AF566"/>
    <w:lvl w:ilvl="0" w:tplc="C318113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71A5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02F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C0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2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A65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04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2C4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8AC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B84491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0C01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A8D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41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29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C27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80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8F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4C"/>
    <w:rsid w:val="00714D0B"/>
    <w:rsid w:val="00722BDC"/>
    <w:rsid w:val="008F0E81"/>
    <w:rsid w:val="00C0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E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24F3204CCAD449B87391278D931AC" ma:contentTypeVersion="0" ma:contentTypeDescription="Create a new document." ma:contentTypeScope="" ma:versionID="ba0f38a66c9b8ac743be3ff629b9e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33757-EBC4-4E0E-992F-6E8A12406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526B2A-46D9-45DA-A765-61B405273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AAAD0-7EDB-4A55-B2F4-5361FDF7D4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dcterms:created xsi:type="dcterms:W3CDTF">2019-09-04T11:36:00Z</dcterms:created>
  <dcterms:modified xsi:type="dcterms:W3CDTF">2019-09-04T11:39:00Z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0x010100C2024F3204CCAD449B87391278D931AC</vt:lpwstr>
  </property>
</Properties>
</file>