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5C2EF" w14:textId="6ED07DED" w:rsidR="0075259C" w:rsidRPr="00A32007" w:rsidRDefault="00271194" w:rsidP="0075259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07">
        <w:rPr>
          <w:rFonts w:ascii="Arial" w:hAnsi="Arial" w:cs="Arial"/>
          <w:b/>
          <w:bCs/>
          <w:sz w:val="22"/>
          <w:szCs w:val="22"/>
        </w:rPr>
        <w:t xml:space="preserve">Nabava </w:t>
      </w:r>
      <w:r w:rsidR="0075259C" w:rsidRPr="00A32007">
        <w:rPr>
          <w:rFonts w:ascii="Arial" w:hAnsi="Arial" w:cs="Arial"/>
          <w:b/>
          <w:bCs/>
          <w:sz w:val="22"/>
          <w:szCs w:val="22"/>
        </w:rPr>
        <w:t>intelektualn</w:t>
      </w:r>
      <w:r w:rsidR="00AA2E29">
        <w:rPr>
          <w:rFonts w:ascii="Arial" w:hAnsi="Arial" w:cs="Arial"/>
          <w:b/>
          <w:bCs/>
          <w:sz w:val="22"/>
          <w:szCs w:val="22"/>
        </w:rPr>
        <w:t>ih</w:t>
      </w:r>
      <w:r w:rsidR="0075259C" w:rsidRPr="00A32007">
        <w:rPr>
          <w:rFonts w:ascii="Arial" w:hAnsi="Arial" w:cs="Arial"/>
          <w:b/>
          <w:bCs/>
          <w:sz w:val="22"/>
          <w:szCs w:val="22"/>
        </w:rPr>
        <w:t xml:space="preserve"> uslug</w:t>
      </w:r>
      <w:r w:rsidR="00AA2E29">
        <w:rPr>
          <w:rFonts w:ascii="Arial" w:hAnsi="Arial" w:cs="Arial"/>
          <w:b/>
          <w:bCs/>
          <w:sz w:val="22"/>
          <w:szCs w:val="22"/>
        </w:rPr>
        <w:t>a</w:t>
      </w:r>
      <w:r w:rsidR="0075259C" w:rsidRPr="00A32007">
        <w:rPr>
          <w:rFonts w:ascii="Arial" w:hAnsi="Arial" w:cs="Arial"/>
          <w:b/>
          <w:bCs/>
          <w:sz w:val="22"/>
          <w:szCs w:val="22"/>
        </w:rPr>
        <w:t xml:space="preserve"> vanjskih stručnjaka </w:t>
      </w:r>
    </w:p>
    <w:p w14:paraId="46342F27" w14:textId="375306E3" w:rsidR="00271194" w:rsidRPr="00A32007" w:rsidRDefault="00AA2E29" w:rsidP="0075259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vezanih</w:t>
      </w:r>
      <w:r w:rsidR="0075259C" w:rsidRPr="00A32007">
        <w:rPr>
          <w:rFonts w:ascii="Arial" w:hAnsi="Arial" w:cs="Arial"/>
          <w:b/>
          <w:bCs/>
          <w:sz w:val="22"/>
          <w:szCs w:val="22"/>
        </w:rPr>
        <w:t xml:space="preserve"> uz ocjenu projektnih prijedloga</w:t>
      </w:r>
      <w:r w:rsidR="00D27AE6">
        <w:rPr>
          <w:rFonts w:ascii="Arial" w:hAnsi="Arial" w:cs="Arial"/>
          <w:b/>
          <w:bCs/>
          <w:sz w:val="22"/>
          <w:szCs w:val="22"/>
        </w:rPr>
        <w:t xml:space="preserve"> iz ITU mehanizma</w:t>
      </w:r>
    </w:p>
    <w:p w14:paraId="5B01CD53" w14:textId="77777777" w:rsidR="002C2E01" w:rsidRPr="00A32007" w:rsidRDefault="002C2E01" w:rsidP="00A2147B">
      <w:pPr>
        <w:spacing w:line="276" w:lineRule="auto"/>
        <w:rPr>
          <w:rFonts w:ascii="Arial" w:eastAsia="Calibri" w:hAnsi="Arial" w:cs="Arial"/>
        </w:rPr>
      </w:pPr>
    </w:p>
    <w:p w14:paraId="6F2EC10A" w14:textId="6FBC4EEC" w:rsidR="00A2147B" w:rsidRPr="00E06E47" w:rsidRDefault="00A2147B" w:rsidP="00A2147B">
      <w:pPr>
        <w:spacing w:line="276" w:lineRule="auto"/>
        <w:ind w:left="567" w:hanging="2268"/>
        <w:jc w:val="center"/>
        <w:rPr>
          <w:rFonts w:ascii="Arial" w:hAnsi="Arial" w:cs="Arial"/>
          <w:b/>
          <w:lang w:eastAsia="x-none"/>
        </w:rPr>
      </w:pPr>
      <w:r w:rsidRPr="00E06E47">
        <w:rPr>
          <w:rFonts w:ascii="Arial" w:hAnsi="Arial" w:cs="Arial"/>
          <w:b/>
          <w:lang w:eastAsia="x-none"/>
        </w:rPr>
        <w:t xml:space="preserve">                         </w:t>
      </w:r>
      <w:r w:rsidR="00AF6E11" w:rsidRPr="00E06E47">
        <w:rPr>
          <w:rFonts w:ascii="Arial" w:hAnsi="Arial" w:cs="Arial"/>
          <w:b/>
          <w:lang w:eastAsia="x-none"/>
        </w:rPr>
        <w:t xml:space="preserve">II </w:t>
      </w:r>
      <w:r w:rsidRPr="00E06E47">
        <w:rPr>
          <w:rFonts w:ascii="Arial" w:hAnsi="Arial" w:cs="Arial"/>
          <w:b/>
          <w:lang w:eastAsia="x-none"/>
        </w:rPr>
        <w:t>PROJEKTNI ZADATAK</w:t>
      </w:r>
    </w:p>
    <w:p w14:paraId="6FB09F4E" w14:textId="77777777" w:rsidR="007C7F63" w:rsidRPr="00A32007" w:rsidRDefault="007C7F63" w:rsidP="007C7F63">
      <w:pPr>
        <w:spacing w:line="276" w:lineRule="auto"/>
        <w:ind w:left="-284"/>
        <w:jc w:val="center"/>
        <w:rPr>
          <w:rFonts w:ascii="Arial" w:eastAsia="Calibri" w:hAnsi="Arial" w:cs="Arial"/>
        </w:rPr>
      </w:pPr>
    </w:p>
    <w:p w14:paraId="073C0484" w14:textId="77777777" w:rsidR="00D27AE6" w:rsidRDefault="00D27AE6" w:rsidP="007C7F63">
      <w:pPr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65DC6B25" w14:textId="77777777" w:rsidR="007C7F63" w:rsidRPr="00A32007" w:rsidRDefault="007C7F63" w:rsidP="007C7F63">
      <w:pPr>
        <w:spacing w:line="276" w:lineRule="auto"/>
        <w:rPr>
          <w:rFonts w:ascii="Arial" w:hAnsi="Arial"/>
          <w:b/>
          <w:bCs/>
          <w:sz w:val="22"/>
          <w:szCs w:val="22"/>
        </w:rPr>
      </w:pPr>
      <w:r w:rsidRPr="00A32007">
        <w:rPr>
          <w:rFonts w:ascii="Arial" w:hAnsi="Arial"/>
          <w:b/>
          <w:bCs/>
          <w:sz w:val="22"/>
          <w:szCs w:val="22"/>
        </w:rPr>
        <w:t>UVOD</w:t>
      </w:r>
    </w:p>
    <w:p w14:paraId="5407555D" w14:textId="77777777" w:rsidR="007C7F63" w:rsidRPr="00A32007" w:rsidRDefault="007C7F63" w:rsidP="007C7F63">
      <w:pPr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527CBD32" w14:textId="34F9AD55" w:rsidR="00467A29" w:rsidRPr="00A32007" w:rsidRDefault="00467A29" w:rsidP="00467A29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Grad Split je nositelj EU projekta </w:t>
      </w:r>
      <w:r w:rsidR="000E7731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A32007">
        <w:rPr>
          <w:rFonts w:ascii="Arial" w:eastAsiaTheme="minorHAnsi" w:hAnsi="Arial" w:cs="Arial"/>
          <w:sz w:val="22"/>
          <w:szCs w:val="22"/>
          <w:lang w:eastAsia="en-US"/>
        </w:rPr>
        <w:t>Grad Split - tehnička pomoć ITU PT" čija je svrha osigurati učinkovitu provedbu ITU mehanizma u Urbanoj aglomeraciji Split osiguravanjem bespovratnih sredstava za sufinanciranje troškova odgovarajućih ljudskih resursa za učinkovitu provedbu i praćenje ITU mehanizma.</w:t>
      </w:r>
    </w:p>
    <w:p w14:paraId="3862B258" w14:textId="77777777" w:rsidR="007C7F63" w:rsidRPr="00A32007" w:rsidRDefault="007C7F63" w:rsidP="007C7F6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>Integrirana teritorijalna ulaganja (ITU) predstavljaju mehanizam Europske unije za razdoblje 2014.-2020. godine koji je uveden s ciljem jačanja uloge gradova kao pokretača gospodarskog razvoja, a sastoji se od skupa aktivnosti koje se u gradovima mogu financirati iz europskih strukturnih fondova.</w:t>
      </w:r>
    </w:p>
    <w:p w14:paraId="3D60A07A" w14:textId="77777777" w:rsidR="000D71BC" w:rsidRPr="00A32007" w:rsidRDefault="000D71BC" w:rsidP="007C7F6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EF93F3D" w14:textId="42109448" w:rsidR="007C7F63" w:rsidRPr="00A32007" w:rsidRDefault="007C7F63" w:rsidP="007C7F6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>Sukladno Odluci o odabiru područja za provedbu mehanizma integriranih teritorijalnih ulaganja (KLASA: 300-01/16-05/4, URBROJ: 538-06-1-2/011-16-5) Ministarstva regionalnog razvoja i fondova EU od 5.10.2016.g, područjem za provedbu ITU mehanizma</w:t>
      </w:r>
      <w:r w:rsidRPr="00A320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utvrđeno je Urbano područje Split. </w:t>
      </w:r>
    </w:p>
    <w:p w14:paraId="7AFBD59B" w14:textId="77777777" w:rsidR="007C7F63" w:rsidRPr="00A32007" w:rsidRDefault="007C7F63" w:rsidP="007C7F6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3EA255" w14:textId="2F20D1D1" w:rsidR="000D71BC" w:rsidRPr="00A32007" w:rsidRDefault="007C7F63" w:rsidP="007C7F6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>Posredničko tijelo integriranih terito</w:t>
      </w:r>
      <w:r w:rsidR="00AF4C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rijalnih ulaganja Split (ITU PT </w:t>
      </w: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Split) sudjeluje u pripremi i provođenju postupaka dodjele bespovratnih sredstava u okviru </w:t>
      </w:r>
      <w:r w:rsidR="000D71BC"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sljedećih </w:t>
      </w: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>Specifičnih ciljeva Operativnog programa Konku</w:t>
      </w:r>
      <w:r w:rsidR="000D71BC"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>rentnost i kohezija 2014.-2020.:</w:t>
      </w:r>
    </w:p>
    <w:p w14:paraId="3FE656A5" w14:textId="77777777" w:rsidR="000D71BC" w:rsidRPr="00A32007" w:rsidRDefault="000D71BC" w:rsidP="000D71BC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3a2 Omogućavanje povoljnog okruženja za razvoj poduzetništva </w:t>
      </w:r>
    </w:p>
    <w:p w14:paraId="6C8AF364" w14:textId="77777777" w:rsidR="000D71BC" w:rsidRPr="00A32007" w:rsidRDefault="000D71BC" w:rsidP="000D71BC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6c1 Povećanje zapošljavanja i turističkih izdataka kroz unaprjeđenje kulturne baštine </w:t>
      </w:r>
    </w:p>
    <w:p w14:paraId="29A828A3" w14:textId="77777777" w:rsidR="000D71BC" w:rsidRPr="00A32007" w:rsidRDefault="000D71BC" w:rsidP="000D71BC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6e2 Obnova </w:t>
      </w:r>
      <w:proofErr w:type="spellStart"/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>brownfield</w:t>
      </w:r>
      <w:proofErr w:type="spellEnd"/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lokacija (bivša vojna i/ ili industrijska područja) </w:t>
      </w:r>
    </w:p>
    <w:p w14:paraId="332BAF96" w14:textId="77777777" w:rsidR="000D71BC" w:rsidRPr="00A32007" w:rsidRDefault="000D71BC" w:rsidP="000D71BC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>7ii2 Povećanje broja putnika u javnom prijevozu</w:t>
      </w:r>
    </w:p>
    <w:p w14:paraId="2DFBD413" w14:textId="77777777" w:rsidR="008D1EF8" w:rsidRDefault="008D1EF8" w:rsidP="008D1EF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103BACA" w14:textId="2E4D9B0E" w:rsidR="007C7F63" w:rsidRPr="008D1EF8" w:rsidRDefault="007C7F63" w:rsidP="008D1EF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Točnije, ITU PT Split u okviru spomenutih Specifičnih ciljeva </w:t>
      </w:r>
      <w:r w:rsidR="008D1EF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sudjeluje u izradi uputa za prijavitelje i </w:t>
      </w:r>
      <w:r w:rsidRPr="00A320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izradi selekcijskih kriterija za odabir te </w:t>
      </w:r>
      <w:r w:rsidR="008D1EF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provodi postupak ocjene kvalitete projektnih prijedloga. </w:t>
      </w:r>
      <w:r w:rsidRPr="00A32007">
        <w:rPr>
          <w:rFonts w:ascii="Arial" w:eastAsia="Calibri" w:hAnsi="Arial" w:cs="Arial"/>
          <w:sz w:val="22"/>
          <w:szCs w:val="22"/>
          <w:lang w:eastAsia="en-US"/>
        </w:rPr>
        <w:t xml:space="preserve">ITU PT Split, kao novo tijelo u sustavu upravljanja i kontrole korištenja EU fondova, nema prethodnog iskustva u obavljanju </w:t>
      </w:r>
      <w:r w:rsidR="008D1EF8">
        <w:rPr>
          <w:rFonts w:ascii="Arial" w:eastAsia="Calibri" w:hAnsi="Arial" w:cs="Arial"/>
          <w:sz w:val="22"/>
          <w:szCs w:val="22"/>
          <w:lang w:eastAsia="en-US"/>
        </w:rPr>
        <w:t>ovih</w:t>
      </w:r>
      <w:r w:rsidRPr="00A32007">
        <w:rPr>
          <w:rFonts w:ascii="Arial" w:eastAsia="Calibri" w:hAnsi="Arial" w:cs="Arial"/>
          <w:sz w:val="22"/>
          <w:szCs w:val="22"/>
          <w:lang w:eastAsia="en-US"/>
        </w:rPr>
        <w:t xml:space="preserve"> funkcija iz financijskog razdoblja 2007.-2013. Sukladno spomenutom te u skladu s preporukama dobivenih tijekom određivanja sustava upravljanja i kontrole OPKK, postoji potreba za jačanjem kapaciteta ITU PT i podrškom u provedbi </w:t>
      </w:r>
      <w:r w:rsidR="00AF4CF9">
        <w:rPr>
          <w:rFonts w:ascii="Arial" w:eastAsia="Calibri" w:hAnsi="Arial" w:cs="Arial"/>
          <w:sz w:val="22"/>
          <w:szCs w:val="22"/>
          <w:lang w:eastAsia="en-US"/>
        </w:rPr>
        <w:t>navedenih</w:t>
      </w:r>
      <w:r w:rsidRPr="00A32007">
        <w:rPr>
          <w:rFonts w:ascii="Arial" w:eastAsia="Calibri" w:hAnsi="Arial" w:cs="Arial"/>
          <w:sz w:val="22"/>
          <w:szCs w:val="22"/>
          <w:lang w:eastAsia="en-US"/>
        </w:rPr>
        <w:t xml:space="preserve"> funkcija.</w:t>
      </w:r>
    </w:p>
    <w:p w14:paraId="7721A1B5" w14:textId="77777777" w:rsidR="007C7F63" w:rsidRPr="00A32007" w:rsidRDefault="007C7F63" w:rsidP="007C7F6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B72855" w14:textId="77777777" w:rsidR="007C7F63" w:rsidRPr="00A32007" w:rsidRDefault="007C7F63" w:rsidP="007C7F63">
      <w:pPr>
        <w:jc w:val="both"/>
        <w:rPr>
          <w:rFonts w:ascii="Arial" w:hAnsi="Arial" w:cs="Arial"/>
          <w:sz w:val="22"/>
          <w:szCs w:val="22"/>
        </w:rPr>
      </w:pPr>
      <w:r w:rsidRPr="00A32007">
        <w:rPr>
          <w:rFonts w:ascii="Arial" w:hAnsi="Arial" w:cs="Arial"/>
          <w:sz w:val="22"/>
          <w:szCs w:val="22"/>
        </w:rPr>
        <w:t>Svrha nabave usluga je povećati sposobnost ITU PT-a u postupku dodjele sredstava iz ESI fondova kroz osiguranje savjetodavnih stručnjaka.</w:t>
      </w:r>
    </w:p>
    <w:p w14:paraId="0F933F9D" w14:textId="77777777" w:rsidR="000D71BC" w:rsidRPr="00A32007" w:rsidRDefault="000D71BC" w:rsidP="007C7F63">
      <w:pPr>
        <w:rPr>
          <w:rFonts w:ascii="Arial" w:hAnsi="Arial" w:cs="Arial"/>
          <w:b/>
          <w:sz w:val="22"/>
          <w:szCs w:val="22"/>
        </w:rPr>
      </w:pPr>
    </w:p>
    <w:p w14:paraId="2485EB76" w14:textId="77777777" w:rsidR="00D27AE6" w:rsidRDefault="00D27AE6" w:rsidP="007C7F63">
      <w:pPr>
        <w:spacing w:after="20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EFC31BE" w14:textId="77777777" w:rsidR="007C7F63" w:rsidRPr="00A32007" w:rsidRDefault="007C7F63" w:rsidP="007C7F63">
      <w:pPr>
        <w:spacing w:after="20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b/>
          <w:sz w:val="22"/>
          <w:szCs w:val="22"/>
          <w:lang w:eastAsia="en-US"/>
        </w:rPr>
        <w:t>PREDMET NABAVE</w:t>
      </w:r>
    </w:p>
    <w:p w14:paraId="4C0D1958" w14:textId="77777777" w:rsidR="008E6B5B" w:rsidRPr="00A32007" w:rsidRDefault="0075259C" w:rsidP="00117BE1">
      <w:pPr>
        <w:jc w:val="both"/>
        <w:rPr>
          <w:rFonts w:ascii="Arial" w:hAnsi="Arial" w:cs="Arial"/>
          <w:bCs/>
          <w:sz w:val="22"/>
          <w:szCs w:val="22"/>
        </w:rPr>
      </w:pPr>
      <w:r w:rsidRPr="00A32007">
        <w:rPr>
          <w:rFonts w:ascii="Arial" w:hAnsi="Arial" w:cs="Arial"/>
          <w:bCs/>
          <w:sz w:val="22"/>
          <w:szCs w:val="22"/>
        </w:rPr>
        <w:t xml:space="preserve">Predmet javnog nadmetanja su intelektualne usluge vanjskih stručnjaka koje su Naručitelju potrebne u svrhu ocjene projektnih prijedloga financiranih sredstvima iz ESI fondova </w:t>
      </w:r>
      <w:r w:rsidR="00027378" w:rsidRPr="00A32007">
        <w:rPr>
          <w:rFonts w:ascii="Arial" w:eastAsia="Calibri" w:hAnsi="Arial" w:cs="Arial"/>
          <w:sz w:val="22"/>
          <w:szCs w:val="22"/>
          <w:lang w:eastAsia="en-US"/>
        </w:rPr>
        <w:t>u okviru ITU mehanizma</w:t>
      </w:r>
      <w:r w:rsidR="0025742A" w:rsidRPr="00A3200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D921E36" w14:textId="77777777" w:rsidR="009F5F95" w:rsidRPr="00A32007" w:rsidRDefault="009F5F95" w:rsidP="00117B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9DBDE8" w14:textId="5612A140" w:rsidR="000D71BC" w:rsidRPr="00A32007" w:rsidRDefault="006E5261" w:rsidP="00162E80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Procijenjena vrijednost nabave je </w:t>
      </w:r>
      <w:r w:rsidR="00467A29">
        <w:rPr>
          <w:rFonts w:ascii="Arial" w:eastAsiaTheme="minorHAnsi" w:hAnsi="Arial" w:cs="Arial"/>
          <w:sz w:val="22"/>
          <w:szCs w:val="22"/>
          <w:lang w:eastAsia="en-US"/>
        </w:rPr>
        <w:t>19</w:t>
      </w:r>
      <w:r w:rsidR="000E7731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467A29">
        <w:rPr>
          <w:rFonts w:ascii="Arial" w:eastAsiaTheme="minorHAnsi" w:hAnsi="Arial" w:cs="Arial"/>
          <w:sz w:val="22"/>
          <w:szCs w:val="22"/>
          <w:lang w:eastAsia="en-US"/>
        </w:rPr>
        <w:t>.000,00</w:t>
      </w:r>
      <w:r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 kn bez PDV-a. </w:t>
      </w:r>
    </w:p>
    <w:p w14:paraId="138B4147" w14:textId="77777777" w:rsidR="008D1EF8" w:rsidRDefault="006E5261" w:rsidP="008D1EF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Predmetna usluga vrši se sukcesivno za vrijeme trajanja ugovora </w:t>
      </w:r>
      <w:r w:rsidR="00027378" w:rsidRPr="00A32007">
        <w:rPr>
          <w:rFonts w:ascii="Arial" w:eastAsiaTheme="minorHAnsi" w:hAnsi="Arial" w:cs="Arial"/>
          <w:sz w:val="22"/>
          <w:szCs w:val="22"/>
          <w:lang w:eastAsia="en-US"/>
        </w:rPr>
        <w:t>od 2 godine.</w:t>
      </w:r>
    </w:p>
    <w:p w14:paraId="7A0A1CBB" w14:textId="77777777" w:rsidR="00467A29" w:rsidRDefault="00467A29" w:rsidP="008D1EF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35E03BF" w14:textId="77777777" w:rsidR="006E5261" w:rsidRPr="00A32007" w:rsidRDefault="006E5261" w:rsidP="008D1EF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sz w:val="22"/>
          <w:szCs w:val="22"/>
          <w:lang w:eastAsia="en-US"/>
        </w:rPr>
        <w:t>Stručnjaci će se angažirati prema potrebama određenoga poziva na dostavu projektnih prijedloga.</w:t>
      </w:r>
    </w:p>
    <w:p w14:paraId="18C26764" w14:textId="77777777" w:rsidR="00162E80" w:rsidRPr="00A32007" w:rsidRDefault="00162E80" w:rsidP="008D1EF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053939" w14:textId="77777777" w:rsidR="006E5261" w:rsidRPr="00A32007" w:rsidRDefault="006E5261" w:rsidP="008D1EF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Tehnička specifikacija predmeta nabave određena je </w:t>
      </w:r>
      <w:r w:rsidR="0025742A" w:rsidRPr="00A32007">
        <w:rPr>
          <w:rFonts w:ascii="Arial" w:eastAsiaTheme="minorHAnsi" w:hAnsi="Arial" w:cs="Arial"/>
          <w:sz w:val="22"/>
          <w:szCs w:val="22"/>
          <w:lang w:eastAsia="en-US"/>
        </w:rPr>
        <w:t>opisom posla</w:t>
      </w:r>
      <w:r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 stručnjaka.</w:t>
      </w:r>
    </w:p>
    <w:p w14:paraId="64712E00" w14:textId="77777777" w:rsidR="00877795" w:rsidRPr="00A32007" w:rsidRDefault="006E5261" w:rsidP="008D1EF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sz w:val="22"/>
          <w:szCs w:val="22"/>
          <w:lang w:eastAsia="en-US"/>
        </w:rPr>
        <w:t>Ponuda treba biti izražena po jediničnoj cijeni i treba uključivati sve neophodne troškove za uspješno izvršenje zadatka (bez PDV-a).</w:t>
      </w:r>
    </w:p>
    <w:p w14:paraId="64FE9E39" w14:textId="77777777" w:rsidR="006E5261" w:rsidRPr="00A32007" w:rsidRDefault="006E5261" w:rsidP="008D1EF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007">
        <w:rPr>
          <w:rFonts w:ascii="Arial" w:hAnsi="Arial" w:cs="Arial"/>
          <w:sz w:val="22"/>
          <w:szCs w:val="22"/>
        </w:rPr>
        <w:t>Predujam je isključen</w:t>
      </w:r>
      <w:r w:rsidRPr="00A32007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1708E3F3" w14:textId="4C0D7804" w:rsidR="006E5261" w:rsidRPr="00A32007" w:rsidRDefault="001B2B7B" w:rsidP="008D1EF8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32007">
        <w:rPr>
          <w:rFonts w:ascii="Arial" w:hAnsi="Arial" w:cs="Arial"/>
          <w:sz w:val="22"/>
          <w:szCs w:val="22"/>
          <w:lang w:eastAsia="en-US"/>
        </w:rPr>
        <w:t xml:space="preserve">Uz </w:t>
      </w:r>
      <w:r w:rsidR="000E7731">
        <w:rPr>
          <w:rFonts w:ascii="Arial" w:hAnsi="Arial" w:cs="Arial"/>
          <w:sz w:val="22"/>
          <w:szCs w:val="22"/>
          <w:lang w:eastAsia="en-US"/>
        </w:rPr>
        <w:t xml:space="preserve">svaki izdani </w:t>
      </w:r>
      <w:r w:rsidRPr="00A32007">
        <w:rPr>
          <w:rFonts w:ascii="Arial" w:hAnsi="Arial" w:cs="Arial"/>
          <w:sz w:val="22"/>
          <w:szCs w:val="22"/>
          <w:lang w:eastAsia="en-US"/>
        </w:rPr>
        <w:t>račun P</w:t>
      </w:r>
      <w:r w:rsidR="006E5261" w:rsidRPr="00A32007">
        <w:rPr>
          <w:rFonts w:ascii="Arial" w:hAnsi="Arial" w:cs="Arial"/>
          <w:sz w:val="22"/>
          <w:szCs w:val="22"/>
          <w:lang w:eastAsia="en-US"/>
        </w:rPr>
        <w:t>on</w:t>
      </w:r>
      <w:r w:rsidR="00167474">
        <w:rPr>
          <w:rFonts w:ascii="Arial" w:hAnsi="Arial" w:cs="Arial"/>
          <w:sz w:val="22"/>
          <w:szCs w:val="22"/>
          <w:lang w:eastAsia="en-US"/>
        </w:rPr>
        <w:t xml:space="preserve">uditelj mora priložiti </w:t>
      </w:r>
      <w:r w:rsidR="00167474" w:rsidRPr="00562883">
        <w:rPr>
          <w:rFonts w:ascii="Arial" w:hAnsi="Arial" w:cs="Arial"/>
          <w:sz w:val="22"/>
          <w:szCs w:val="22"/>
          <w:lang w:eastAsia="en-US"/>
        </w:rPr>
        <w:t>potpisani</w:t>
      </w:r>
      <w:r w:rsidR="00467A29" w:rsidRPr="00562883">
        <w:rPr>
          <w:rFonts w:ascii="Arial" w:hAnsi="Arial" w:cs="Arial"/>
          <w:sz w:val="22"/>
          <w:szCs w:val="22"/>
          <w:lang w:eastAsia="en-US"/>
        </w:rPr>
        <w:t xml:space="preserve"> izvještaj o realiziranim aktivnostima, odnosno ocijenjenim projektnim prijedlozima</w:t>
      </w:r>
      <w:r w:rsidR="006E5261" w:rsidRPr="00562883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  <w:r w:rsidR="00A9544D" w:rsidRPr="00562883">
        <w:rPr>
          <w:rFonts w:ascii="Arial" w:eastAsiaTheme="minorHAnsi" w:hAnsi="Arial" w:cs="Arial"/>
          <w:sz w:val="22"/>
          <w:szCs w:val="22"/>
          <w:lang w:eastAsia="en-US"/>
        </w:rPr>
        <w:t>odobren</w:t>
      </w:r>
      <w:r w:rsidR="006E5261" w:rsidRPr="00562883">
        <w:rPr>
          <w:rFonts w:ascii="Arial" w:eastAsiaTheme="minorHAnsi" w:hAnsi="Arial" w:cs="Arial"/>
          <w:sz w:val="22"/>
          <w:szCs w:val="22"/>
          <w:lang w:eastAsia="en-US"/>
        </w:rPr>
        <w:t xml:space="preserve"> od Naručitelja.</w:t>
      </w:r>
      <w:r w:rsidR="006E5261"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 Naručitelj će platiti ugovorenu cijenu </w:t>
      </w:r>
      <w:r w:rsidR="006E5261" w:rsidRPr="00A32007">
        <w:rPr>
          <w:rFonts w:ascii="Arial" w:hAnsi="Arial" w:cs="Arial"/>
          <w:sz w:val="22"/>
          <w:szCs w:val="22"/>
          <w:lang w:eastAsia="en-US"/>
        </w:rPr>
        <w:t xml:space="preserve">u roku do 60 dana od datuma zaprimanja </w:t>
      </w:r>
      <w:r w:rsidR="000E7731">
        <w:rPr>
          <w:rFonts w:ascii="Arial" w:hAnsi="Arial" w:cs="Arial"/>
          <w:sz w:val="22"/>
          <w:szCs w:val="22"/>
          <w:lang w:eastAsia="en-US"/>
        </w:rPr>
        <w:t xml:space="preserve">svakog pojedinog </w:t>
      </w:r>
      <w:r w:rsidR="006E5261" w:rsidRPr="00A32007">
        <w:rPr>
          <w:rFonts w:ascii="Arial" w:hAnsi="Arial" w:cs="Arial"/>
          <w:sz w:val="22"/>
          <w:szCs w:val="22"/>
          <w:lang w:eastAsia="en-US"/>
        </w:rPr>
        <w:t>računa na protokolu Grada Splita.</w:t>
      </w:r>
    </w:p>
    <w:p w14:paraId="4AF729BB" w14:textId="77777777" w:rsidR="009F5F95" w:rsidRPr="00A32007" w:rsidRDefault="009F5F95" w:rsidP="009F5F9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0A6C77D" w14:textId="77777777" w:rsidR="00D27AE6" w:rsidRDefault="00D27AE6" w:rsidP="009F5F9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708C513" w14:textId="77777777" w:rsidR="006E5261" w:rsidRPr="00A32007" w:rsidRDefault="006E5261" w:rsidP="009F5F95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b/>
          <w:sz w:val="22"/>
          <w:szCs w:val="22"/>
          <w:lang w:eastAsia="en-US"/>
        </w:rPr>
        <w:t>KOLIČINA PREDMETA NABAVE</w:t>
      </w:r>
    </w:p>
    <w:p w14:paraId="767D3115" w14:textId="77777777" w:rsidR="006E5261" w:rsidRPr="00A32007" w:rsidRDefault="006E5261" w:rsidP="009F5F95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3BD0E1E6" w14:textId="20F9D779" w:rsidR="006E5261" w:rsidRPr="00A32007" w:rsidRDefault="006E5261" w:rsidP="009F5F9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U Troškovniku su određene okvirne količine potrebnih usluga prema indikativnom vremenskom planu provedbe </w:t>
      </w:r>
      <w:r w:rsidRPr="00AA2E29">
        <w:rPr>
          <w:rFonts w:ascii="Arial" w:eastAsiaTheme="minorHAnsi" w:hAnsi="Arial" w:cs="Arial"/>
          <w:sz w:val="22"/>
          <w:szCs w:val="22"/>
          <w:lang w:eastAsia="en-US"/>
        </w:rPr>
        <w:t xml:space="preserve">ITU </w:t>
      </w:r>
      <w:r w:rsidR="00562883" w:rsidRPr="00AA2E29">
        <w:rPr>
          <w:rFonts w:ascii="Arial" w:eastAsiaTheme="minorHAnsi" w:hAnsi="Arial" w:cs="Arial"/>
          <w:sz w:val="22"/>
          <w:szCs w:val="22"/>
          <w:lang w:eastAsia="en-US"/>
        </w:rPr>
        <w:t xml:space="preserve">poziva </w:t>
      </w:r>
      <w:r w:rsidRPr="00AA2E29">
        <w:rPr>
          <w:rFonts w:ascii="Arial" w:eastAsiaTheme="minorHAnsi" w:hAnsi="Arial" w:cs="Arial"/>
          <w:sz w:val="22"/>
          <w:szCs w:val="22"/>
          <w:lang w:eastAsia="en-US"/>
        </w:rPr>
        <w:t xml:space="preserve">(koji će </w:t>
      </w:r>
      <w:r w:rsidRPr="00A32007">
        <w:rPr>
          <w:rFonts w:ascii="Arial" w:eastAsiaTheme="minorHAnsi" w:hAnsi="Arial" w:cs="Arial"/>
          <w:sz w:val="22"/>
          <w:szCs w:val="22"/>
          <w:lang w:eastAsia="en-US"/>
        </w:rPr>
        <w:t>biti stavljen na raspolaganje stručnjacima radi uvida).</w:t>
      </w:r>
    </w:p>
    <w:p w14:paraId="5777045A" w14:textId="0BE0F2DA" w:rsidR="007C7F63" w:rsidRPr="00A32007" w:rsidRDefault="006E5261" w:rsidP="009F5F95">
      <w:pPr>
        <w:spacing w:after="20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007">
        <w:rPr>
          <w:rFonts w:ascii="Arial" w:eastAsiaTheme="minorHAnsi" w:hAnsi="Arial" w:cs="Arial"/>
          <w:sz w:val="22"/>
          <w:szCs w:val="22"/>
          <w:lang w:eastAsia="en-US"/>
        </w:rPr>
        <w:t>S obzirom da se zbog prirode predmeta nabave ne mogu unaprijed odrediti točne količine projektni</w:t>
      </w:r>
      <w:r w:rsidR="001B2B7B" w:rsidRPr="00A32007">
        <w:rPr>
          <w:rFonts w:ascii="Arial" w:eastAsiaTheme="minorHAnsi" w:hAnsi="Arial" w:cs="Arial"/>
          <w:sz w:val="22"/>
          <w:szCs w:val="22"/>
          <w:lang w:eastAsia="en-US"/>
        </w:rPr>
        <w:t>h prijava koje će se zaprimiti</w:t>
      </w:r>
      <w:r w:rsidR="00467A29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1B2B7B"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 N</w:t>
      </w:r>
      <w:r w:rsidRPr="00A32007">
        <w:rPr>
          <w:rFonts w:ascii="Arial" w:eastAsiaTheme="minorHAnsi" w:hAnsi="Arial" w:cs="Arial"/>
          <w:sz w:val="22"/>
          <w:szCs w:val="22"/>
          <w:lang w:eastAsia="en-US"/>
        </w:rPr>
        <w:t>aručitelj se ne obvezuje na realizaciju navedenih količina u cijelosti. Stvarno nabavljene količine na temelju sklopljenog</w:t>
      </w:r>
      <w:r w:rsidR="001B2B7B"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 ugovora ovisne su o potrebama N</w:t>
      </w:r>
      <w:r w:rsidRPr="00A32007">
        <w:rPr>
          <w:rFonts w:ascii="Arial" w:eastAsiaTheme="minorHAnsi" w:hAnsi="Arial" w:cs="Arial"/>
          <w:sz w:val="22"/>
          <w:szCs w:val="22"/>
          <w:lang w:eastAsia="en-US"/>
        </w:rPr>
        <w:t>aručitelja, te mogu biti</w:t>
      </w:r>
      <w:r w:rsidR="0075259C"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 veće </w:t>
      </w:r>
      <w:r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 w:rsidR="0075259C" w:rsidRPr="00A32007">
        <w:rPr>
          <w:rFonts w:ascii="Arial" w:eastAsiaTheme="minorHAnsi" w:hAnsi="Arial" w:cs="Arial"/>
          <w:sz w:val="22"/>
          <w:szCs w:val="22"/>
          <w:lang w:eastAsia="en-US"/>
        </w:rPr>
        <w:t>li</w:t>
      </w:r>
      <w:r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 manje od okvirnih količina </w:t>
      </w:r>
      <w:r w:rsidR="0075259C" w:rsidRPr="00A32007">
        <w:rPr>
          <w:rFonts w:ascii="Arial" w:eastAsiaTheme="minorHAnsi" w:hAnsi="Arial" w:cs="Arial"/>
          <w:sz w:val="22"/>
          <w:szCs w:val="22"/>
          <w:lang w:eastAsia="en-US"/>
        </w:rPr>
        <w:t>ne ograničavajući se na</w:t>
      </w:r>
      <w:r w:rsidRPr="00A32007">
        <w:rPr>
          <w:rFonts w:ascii="Arial" w:eastAsiaTheme="minorHAnsi" w:hAnsi="Arial" w:cs="Arial"/>
          <w:sz w:val="22"/>
          <w:szCs w:val="22"/>
          <w:lang w:eastAsia="en-US"/>
        </w:rPr>
        <w:t xml:space="preserve"> procijenjenu vrijednost nabave. </w:t>
      </w:r>
    </w:p>
    <w:p w14:paraId="0BEEDBB2" w14:textId="77777777" w:rsidR="007C7F63" w:rsidRPr="00A32007" w:rsidRDefault="007C7F63" w:rsidP="009F5F95">
      <w:pPr>
        <w:rPr>
          <w:rFonts w:ascii="Arial" w:hAnsi="Arial" w:cs="Arial"/>
          <w:b/>
          <w:sz w:val="22"/>
          <w:szCs w:val="22"/>
        </w:rPr>
      </w:pPr>
    </w:p>
    <w:p w14:paraId="593FD409" w14:textId="77777777" w:rsidR="00D27AE6" w:rsidRDefault="00D27AE6" w:rsidP="009F5F95">
      <w:pPr>
        <w:rPr>
          <w:rFonts w:ascii="Arial" w:hAnsi="Arial" w:cs="Arial"/>
          <w:b/>
          <w:sz w:val="22"/>
          <w:szCs w:val="22"/>
        </w:rPr>
      </w:pPr>
    </w:p>
    <w:p w14:paraId="656EFDD3" w14:textId="77777777" w:rsidR="00027378" w:rsidRPr="00A32007" w:rsidRDefault="00027378" w:rsidP="009F5F95">
      <w:pPr>
        <w:rPr>
          <w:rFonts w:ascii="Arial" w:hAnsi="Arial" w:cs="Arial"/>
          <w:b/>
          <w:sz w:val="22"/>
          <w:szCs w:val="22"/>
        </w:rPr>
      </w:pPr>
      <w:r w:rsidRPr="00A32007">
        <w:rPr>
          <w:rFonts w:ascii="Arial" w:hAnsi="Arial" w:cs="Arial"/>
          <w:b/>
          <w:sz w:val="22"/>
          <w:szCs w:val="22"/>
        </w:rPr>
        <w:t>OPIS POSLA STRUČNJAKA</w:t>
      </w:r>
    </w:p>
    <w:p w14:paraId="6E0C7066" w14:textId="77777777" w:rsidR="0085595C" w:rsidRPr="00A32007" w:rsidRDefault="0085595C" w:rsidP="009F5F95">
      <w:pPr>
        <w:jc w:val="both"/>
        <w:rPr>
          <w:rFonts w:ascii="Arial" w:hAnsi="Arial" w:cs="Arial"/>
          <w:b/>
          <w:sz w:val="22"/>
          <w:szCs w:val="22"/>
        </w:rPr>
      </w:pPr>
    </w:p>
    <w:p w14:paraId="3AE858BF" w14:textId="77777777" w:rsidR="00F27B8F" w:rsidRDefault="00A32740" w:rsidP="00894468">
      <w:pPr>
        <w:jc w:val="both"/>
        <w:rPr>
          <w:rFonts w:ascii="Arial" w:hAnsi="Arial" w:cs="Arial"/>
          <w:sz w:val="22"/>
          <w:szCs w:val="22"/>
        </w:rPr>
      </w:pPr>
      <w:r w:rsidRPr="00A32007">
        <w:rPr>
          <w:rFonts w:ascii="Arial" w:hAnsi="Arial" w:cs="Arial"/>
          <w:sz w:val="22"/>
          <w:szCs w:val="22"/>
        </w:rPr>
        <w:t xml:space="preserve">Stručnjaci koji će </w:t>
      </w:r>
      <w:r w:rsidRPr="00562883">
        <w:rPr>
          <w:rFonts w:ascii="Arial" w:hAnsi="Arial" w:cs="Arial"/>
          <w:sz w:val="22"/>
          <w:szCs w:val="22"/>
        </w:rPr>
        <w:t xml:space="preserve">pružati </w:t>
      </w:r>
      <w:r w:rsidRPr="00AA2E29">
        <w:rPr>
          <w:rFonts w:ascii="Arial" w:hAnsi="Arial" w:cs="Arial"/>
          <w:sz w:val="22"/>
          <w:szCs w:val="22"/>
        </w:rPr>
        <w:t xml:space="preserve">usluge </w:t>
      </w:r>
      <w:r w:rsidR="00562883" w:rsidRPr="00AA2E29">
        <w:rPr>
          <w:rFonts w:ascii="Arial" w:hAnsi="Arial" w:cs="Arial"/>
          <w:sz w:val="22"/>
          <w:szCs w:val="22"/>
        </w:rPr>
        <w:t xml:space="preserve">ocjene </w:t>
      </w:r>
      <w:r w:rsidRPr="00AA2E29">
        <w:rPr>
          <w:rFonts w:ascii="Arial" w:hAnsi="Arial" w:cs="Arial"/>
          <w:sz w:val="22"/>
          <w:szCs w:val="22"/>
        </w:rPr>
        <w:t xml:space="preserve">projektnih </w:t>
      </w:r>
      <w:r w:rsidRPr="00A32007">
        <w:rPr>
          <w:rFonts w:ascii="Arial" w:hAnsi="Arial" w:cs="Arial"/>
          <w:sz w:val="22"/>
          <w:szCs w:val="22"/>
        </w:rPr>
        <w:t xml:space="preserve">prijedloga zaprimljenih na pojedini Poziv dužni su </w:t>
      </w:r>
      <w:r w:rsidR="00793B98" w:rsidRPr="00A32007">
        <w:rPr>
          <w:rFonts w:ascii="Arial" w:hAnsi="Arial" w:cs="Arial"/>
          <w:sz w:val="22"/>
          <w:szCs w:val="22"/>
        </w:rPr>
        <w:t>dati individualne ocjene (zaključke i nalaze) za pojedini projektni prijedlog koji sadrže detaljnu analizu projektnog prijedloga sukladno kriterijima za ocjenjivanje objavljenima za svaki pojedini Poziv i to u o</w:t>
      </w:r>
      <w:r w:rsidR="00AA2E29">
        <w:rPr>
          <w:rFonts w:ascii="Arial" w:hAnsi="Arial" w:cs="Arial"/>
          <w:sz w:val="22"/>
          <w:szCs w:val="22"/>
        </w:rPr>
        <w:t>dgovarajućem propisanom obrascu</w:t>
      </w:r>
      <w:r w:rsidR="003C0E98">
        <w:rPr>
          <w:rFonts w:ascii="Arial" w:hAnsi="Arial" w:cs="Arial"/>
          <w:sz w:val="22"/>
          <w:szCs w:val="22"/>
        </w:rPr>
        <w:t>.</w:t>
      </w:r>
      <w:r w:rsidR="00AA2E29">
        <w:rPr>
          <w:rFonts w:ascii="Arial" w:hAnsi="Arial" w:cs="Arial"/>
          <w:sz w:val="22"/>
          <w:szCs w:val="22"/>
        </w:rPr>
        <w:t xml:space="preserve"> </w:t>
      </w:r>
    </w:p>
    <w:p w14:paraId="0EC73AAF" w14:textId="77777777" w:rsidR="00F27B8F" w:rsidRDefault="00F27B8F" w:rsidP="00894468">
      <w:pPr>
        <w:jc w:val="both"/>
        <w:rPr>
          <w:rFonts w:ascii="Arial" w:hAnsi="Arial" w:cs="Arial"/>
          <w:sz w:val="22"/>
          <w:szCs w:val="22"/>
        </w:rPr>
      </w:pPr>
    </w:p>
    <w:p w14:paraId="45C85365" w14:textId="4C646718" w:rsidR="00F27B8F" w:rsidRPr="00447293" w:rsidRDefault="00F27B8F" w:rsidP="00F27B8F">
      <w:pPr>
        <w:jc w:val="both"/>
        <w:rPr>
          <w:rFonts w:ascii="Arial" w:hAnsi="Arial" w:cs="Arial"/>
          <w:sz w:val="22"/>
          <w:szCs w:val="22"/>
        </w:rPr>
      </w:pPr>
      <w:r w:rsidRPr="00447293">
        <w:rPr>
          <w:rFonts w:ascii="Arial" w:hAnsi="Arial" w:cs="Arial"/>
          <w:sz w:val="22"/>
          <w:szCs w:val="22"/>
        </w:rPr>
        <w:t xml:space="preserve">Tako sastavljene ocjene (zaključke i nalaze) stručnjaka, ITU PT će uzeti u obzir prilikom pripreme izvješća o ocjeni za svaki pojedini projektni prijedlog. </w:t>
      </w:r>
    </w:p>
    <w:p w14:paraId="313412BF" w14:textId="77777777" w:rsidR="00F27B8F" w:rsidRPr="00447293" w:rsidRDefault="00F27B8F" w:rsidP="00F27B8F">
      <w:pPr>
        <w:jc w:val="both"/>
        <w:rPr>
          <w:rFonts w:ascii="Arial" w:hAnsi="Arial" w:cs="Arial"/>
          <w:sz w:val="22"/>
          <w:szCs w:val="22"/>
        </w:rPr>
      </w:pPr>
      <w:r w:rsidRPr="00447293">
        <w:rPr>
          <w:rFonts w:ascii="Arial" w:hAnsi="Arial" w:cs="Arial"/>
          <w:sz w:val="22"/>
          <w:szCs w:val="22"/>
        </w:rPr>
        <w:t xml:space="preserve">Ukoliko za dostavljene ocjene (nalaze i zaključke) stručnjaka budu potrebna dodatna pojašnjenja, stručnjaci su dužni na zahtjev ITU PT-a dostaviti dodatna pojašnjenja, odnosno nadopuniti </w:t>
      </w:r>
      <w:r>
        <w:rPr>
          <w:rFonts w:ascii="Arial" w:hAnsi="Arial" w:cs="Arial"/>
          <w:sz w:val="22"/>
          <w:szCs w:val="22"/>
        </w:rPr>
        <w:t xml:space="preserve">svoje </w:t>
      </w:r>
      <w:r w:rsidRPr="00447293">
        <w:rPr>
          <w:rFonts w:ascii="Arial" w:hAnsi="Arial" w:cs="Arial"/>
          <w:sz w:val="22"/>
          <w:szCs w:val="22"/>
        </w:rPr>
        <w:t>nalaze i zaključke.</w:t>
      </w:r>
    </w:p>
    <w:p w14:paraId="35C0070C" w14:textId="77777777" w:rsidR="00F27B8F" w:rsidRDefault="00F27B8F" w:rsidP="00894468">
      <w:pPr>
        <w:jc w:val="both"/>
        <w:rPr>
          <w:rFonts w:ascii="Arial" w:hAnsi="Arial" w:cs="Arial"/>
          <w:sz w:val="22"/>
          <w:szCs w:val="22"/>
        </w:rPr>
      </w:pPr>
    </w:p>
    <w:p w14:paraId="70362556" w14:textId="5515868D" w:rsidR="00F27B8F" w:rsidRDefault="00447293" w:rsidP="00F27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36DBB" w:rsidRPr="00447293">
        <w:rPr>
          <w:rFonts w:ascii="Arial" w:hAnsi="Arial" w:cs="Arial"/>
          <w:sz w:val="22"/>
          <w:szCs w:val="22"/>
        </w:rPr>
        <w:t xml:space="preserve">ružatelj usluge za jedan projektni prijedlog osigurava dva ispunjena obrasca </w:t>
      </w:r>
      <w:r w:rsidR="006253BC" w:rsidRPr="00C06761">
        <w:rPr>
          <w:rFonts w:ascii="Arial" w:hAnsi="Arial" w:cs="Arial"/>
          <w:sz w:val="22"/>
          <w:szCs w:val="22"/>
        </w:rPr>
        <w:t xml:space="preserve">za ocjenjivanje </w:t>
      </w:r>
      <w:r w:rsidR="00836DBB" w:rsidRPr="00C06761">
        <w:rPr>
          <w:rFonts w:ascii="Arial" w:hAnsi="Arial" w:cs="Arial"/>
          <w:sz w:val="22"/>
          <w:szCs w:val="22"/>
        </w:rPr>
        <w:t>od strane dva različita</w:t>
      </w:r>
      <w:r w:rsidR="00DB26A6" w:rsidRPr="00C06761">
        <w:rPr>
          <w:rFonts w:ascii="Arial" w:hAnsi="Arial" w:cs="Arial"/>
          <w:sz w:val="22"/>
          <w:szCs w:val="22"/>
        </w:rPr>
        <w:t xml:space="preserve"> stručnjaka u ulozi ocjenjivača, </w:t>
      </w:r>
      <w:r w:rsidR="006253BC" w:rsidRPr="00C06761">
        <w:rPr>
          <w:rFonts w:ascii="Arial" w:hAnsi="Arial" w:cs="Arial"/>
          <w:sz w:val="22"/>
          <w:szCs w:val="22"/>
        </w:rPr>
        <w:t xml:space="preserve">u skladu s uputama </w:t>
      </w:r>
      <w:r w:rsidR="00DB26A6" w:rsidRPr="00C06761">
        <w:rPr>
          <w:rFonts w:ascii="Arial" w:hAnsi="Arial" w:cs="Arial"/>
          <w:sz w:val="22"/>
          <w:szCs w:val="22"/>
        </w:rPr>
        <w:t>Odb</w:t>
      </w:r>
      <w:r w:rsidR="00DB26A6" w:rsidRPr="00447293">
        <w:rPr>
          <w:rFonts w:ascii="Arial" w:hAnsi="Arial" w:cs="Arial"/>
          <w:sz w:val="22"/>
          <w:szCs w:val="22"/>
        </w:rPr>
        <w:t>ora za odabir projekata.</w:t>
      </w:r>
      <w:r w:rsidR="00F27B8F" w:rsidRPr="00F27B8F">
        <w:rPr>
          <w:rFonts w:ascii="Arial" w:hAnsi="Arial" w:cs="Arial"/>
          <w:sz w:val="22"/>
          <w:szCs w:val="22"/>
        </w:rPr>
        <w:t xml:space="preserve"> </w:t>
      </w:r>
    </w:p>
    <w:p w14:paraId="62281AF6" w14:textId="68434E4C" w:rsidR="00F27B8F" w:rsidRPr="00A32007" w:rsidRDefault="00F27B8F" w:rsidP="00F27B8F">
      <w:pPr>
        <w:jc w:val="both"/>
        <w:rPr>
          <w:rFonts w:ascii="Arial" w:hAnsi="Arial" w:cs="Arial"/>
          <w:sz w:val="22"/>
          <w:szCs w:val="22"/>
        </w:rPr>
      </w:pPr>
      <w:r w:rsidRPr="00A32007">
        <w:rPr>
          <w:rFonts w:ascii="Arial" w:hAnsi="Arial" w:cs="Arial"/>
          <w:sz w:val="22"/>
          <w:szCs w:val="22"/>
        </w:rPr>
        <w:t xml:space="preserve">Ocjenjivanje se </w:t>
      </w:r>
      <w:r>
        <w:rPr>
          <w:rFonts w:ascii="Arial" w:hAnsi="Arial" w:cs="Arial"/>
          <w:sz w:val="22"/>
          <w:szCs w:val="22"/>
        </w:rPr>
        <w:t>mora</w:t>
      </w:r>
      <w:r w:rsidRPr="00A32007">
        <w:rPr>
          <w:rFonts w:ascii="Arial" w:hAnsi="Arial" w:cs="Arial"/>
          <w:sz w:val="22"/>
          <w:szCs w:val="22"/>
        </w:rPr>
        <w:t xml:space="preserve"> vršiti nepristrano, odgovorno, kvalitetno i stručno, sukladno standardima struke.</w:t>
      </w:r>
    </w:p>
    <w:p w14:paraId="484094B7" w14:textId="46AB6537" w:rsidR="002C2E01" w:rsidRPr="00447293" w:rsidRDefault="002C2E01" w:rsidP="009F5F95">
      <w:pPr>
        <w:jc w:val="both"/>
        <w:rPr>
          <w:rFonts w:ascii="Arial" w:hAnsi="Arial" w:cs="Arial"/>
          <w:sz w:val="22"/>
          <w:szCs w:val="22"/>
        </w:rPr>
      </w:pPr>
    </w:p>
    <w:p w14:paraId="46F71EE2" w14:textId="3856D02A" w:rsidR="002C2E01" w:rsidRPr="00447293" w:rsidRDefault="002C2E01" w:rsidP="009F5F95">
      <w:pPr>
        <w:jc w:val="both"/>
        <w:rPr>
          <w:rFonts w:ascii="Arial" w:hAnsi="Arial" w:cs="Arial"/>
          <w:dstrike/>
          <w:sz w:val="22"/>
          <w:szCs w:val="22"/>
        </w:rPr>
      </w:pPr>
      <w:r w:rsidRPr="00A32007">
        <w:rPr>
          <w:rFonts w:ascii="Arial" w:hAnsi="Arial" w:cs="Arial"/>
          <w:sz w:val="22"/>
          <w:szCs w:val="22"/>
        </w:rPr>
        <w:t xml:space="preserve">Stručnjak je dužan odazvati se pozivu Odbora za odabir </w:t>
      </w:r>
      <w:r w:rsidR="00894468">
        <w:rPr>
          <w:rFonts w:ascii="Arial" w:hAnsi="Arial" w:cs="Arial"/>
          <w:sz w:val="22"/>
          <w:szCs w:val="22"/>
        </w:rPr>
        <w:t xml:space="preserve">projekata </w:t>
      </w:r>
      <w:r w:rsidRPr="00447293">
        <w:rPr>
          <w:rFonts w:ascii="Arial" w:hAnsi="Arial" w:cs="Arial"/>
          <w:sz w:val="22"/>
          <w:szCs w:val="22"/>
        </w:rPr>
        <w:t>za predstavljanje oc</w:t>
      </w:r>
      <w:r w:rsidR="00562883" w:rsidRPr="00447293">
        <w:rPr>
          <w:rFonts w:ascii="Arial" w:hAnsi="Arial" w:cs="Arial"/>
          <w:sz w:val="22"/>
          <w:szCs w:val="22"/>
        </w:rPr>
        <w:t>i</w:t>
      </w:r>
      <w:r w:rsidRPr="00447293">
        <w:rPr>
          <w:rFonts w:ascii="Arial" w:hAnsi="Arial" w:cs="Arial"/>
          <w:sz w:val="22"/>
          <w:szCs w:val="22"/>
        </w:rPr>
        <w:t>jenjenih prijava i po potrebi, dodatno obrazložiti svoje ocjene i komentare Odboru za odabir.</w:t>
      </w:r>
      <w:r w:rsidR="00894468" w:rsidRPr="00447293">
        <w:rPr>
          <w:rFonts w:ascii="Arial" w:hAnsi="Arial" w:cs="Arial"/>
          <w:dstrike/>
          <w:sz w:val="22"/>
          <w:szCs w:val="22"/>
        </w:rPr>
        <w:t xml:space="preserve"> </w:t>
      </w:r>
    </w:p>
    <w:p w14:paraId="1168A48A" w14:textId="13229133" w:rsidR="002C2E01" w:rsidRPr="00447293" w:rsidRDefault="009F5F95" w:rsidP="009F5F95">
      <w:pPr>
        <w:jc w:val="both"/>
        <w:rPr>
          <w:rFonts w:ascii="Arial" w:hAnsi="Arial" w:cs="Arial"/>
          <w:sz w:val="22"/>
          <w:szCs w:val="22"/>
        </w:rPr>
      </w:pPr>
      <w:r w:rsidRPr="00447293">
        <w:rPr>
          <w:rFonts w:ascii="Arial" w:hAnsi="Arial" w:cs="Arial"/>
          <w:sz w:val="22"/>
          <w:szCs w:val="22"/>
        </w:rPr>
        <w:t>Stručnjak treba biti na raspolaganju i surađivati s Odborom i po potrebi izvršavati dodatne ocjene prijava do konačnog odabira.</w:t>
      </w:r>
      <w:r w:rsidR="003C0E98">
        <w:rPr>
          <w:rFonts w:ascii="Arial" w:hAnsi="Arial" w:cs="Arial"/>
          <w:sz w:val="22"/>
          <w:szCs w:val="22"/>
        </w:rPr>
        <w:t xml:space="preserve"> </w:t>
      </w:r>
    </w:p>
    <w:p w14:paraId="767CECD7" w14:textId="77777777" w:rsidR="00793B98" w:rsidRPr="00447293" w:rsidRDefault="00793B98" w:rsidP="009F5F95">
      <w:pPr>
        <w:jc w:val="both"/>
        <w:rPr>
          <w:rFonts w:ascii="Arial" w:hAnsi="Arial" w:cs="Arial"/>
          <w:sz w:val="22"/>
          <w:szCs w:val="22"/>
        </w:rPr>
      </w:pPr>
    </w:p>
    <w:p w14:paraId="3196E27A" w14:textId="3256F0E6" w:rsidR="00793B98" w:rsidRPr="00447293" w:rsidRDefault="00793B98" w:rsidP="009F5F95">
      <w:pPr>
        <w:jc w:val="both"/>
        <w:rPr>
          <w:rFonts w:ascii="Arial" w:hAnsi="Arial" w:cs="Arial"/>
          <w:sz w:val="22"/>
          <w:szCs w:val="22"/>
        </w:rPr>
      </w:pPr>
      <w:r w:rsidRPr="00447293">
        <w:rPr>
          <w:rFonts w:ascii="Arial" w:hAnsi="Arial" w:cs="Arial"/>
          <w:sz w:val="22"/>
          <w:szCs w:val="22"/>
        </w:rPr>
        <w:lastRenderedPageBreak/>
        <w:t>Stručnjaci vlastitu ocjenu (nalaze i zaključke) pojedinog projektnog prijedloga mogu prezentirati putem elektroničke komunikacije no obvezni su izvornike obrazaca koji sadrže ocjenu učiniti dostupnim ITU PT-u putem pošte ili neposrednom dostavom.</w:t>
      </w:r>
    </w:p>
    <w:p w14:paraId="047B2B3B" w14:textId="77777777" w:rsidR="00877795" w:rsidRPr="0031399E" w:rsidRDefault="00877795" w:rsidP="00331309">
      <w:pPr>
        <w:jc w:val="both"/>
        <w:rPr>
          <w:rFonts w:ascii="Arial" w:hAnsi="Arial" w:cs="Arial"/>
          <w:strike/>
          <w:sz w:val="22"/>
          <w:szCs w:val="22"/>
        </w:rPr>
      </w:pPr>
    </w:p>
    <w:p w14:paraId="535E04DD" w14:textId="77777777" w:rsidR="00D27AE6" w:rsidRDefault="00D27AE6" w:rsidP="00FA5E0D">
      <w:pPr>
        <w:spacing w:after="200"/>
        <w:contextualSpacing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14:paraId="2164CD7E" w14:textId="77777777" w:rsidR="00BA66FB" w:rsidRDefault="00BA66FB" w:rsidP="00FA5E0D">
      <w:pPr>
        <w:spacing w:after="200"/>
        <w:contextualSpacing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b/>
          <w:sz w:val="22"/>
          <w:szCs w:val="22"/>
          <w:lang w:eastAsia="en-US"/>
        </w:rPr>
        <w:t>OBVEZE NARUČITELJA</w:t>
      </w:r>
    </w:p>
    <w:p w14:paraId="3E7024CC" w14:textId="77777777" w:rsidR="00DB7449" w:rsidRPr="00A32007" w:rsidRDefault="00DB7449" w:rsidP="00DB7449">
      <w:pPr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A32007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Naručitelj mora osigurati pravodobno poslane zahtjeve za angažmanom stručnjaka te dokumentaciju i druge potrebne podatke.</w:t>
      </w:r>
      <w:r w:rsidR="008D1EF8" w:rsidRPr="008D1EF8">
        <w:t xml:space="preserve"> </w:t>
      </w:r>
      <w:r w:rsidR="008D1EF8" w:rsidRPr="008D1EF8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Naručitelj će upoznati stručnjake s metodologijom odabira.</w:t>
      </w:r>
    </w:p>
    <w:p w14:paraId="6F408B09" w14:textId="036E3D19" w:rsidR="00DB7449" w:rsidRPr="005D6453" w:rsidRDefault="001B2B7B" w:rsidP="00DB7449">
      <w:pPr>
        <w:suppressAutoHyphens/>
        <w:jc w:val="both"/>
        <w:rPr>
          <w:rFonts w:ascii="Arial" w:hAnsi="Arial" w:cs="Arial"/>
          <w:strike/>
          <w:color w:val="FF0000"/>
          <w:kern w:val="1"/>
          <w:sz w:val="22"/>
          <w:szCs w:val="22"/>
          <w:lang w:eastAsia="ar-SA"/>
        </w:rPr>
      </w:pPr>
      <w:r w:rsidRPr="00A32007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Naručitelj će P</w:t>
      </w:r>
      <w:r w:rsidR="00DB7449" w:rsidRPr="00A32007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onuditelje uputiti na internet stranicu na kojoj se može vidjeti sadržaj Poziva na dostavu projek</w:t>
      </w:r>
      <w:r w:rsidRPr="00A32007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tnih prijava</w:t>
      </w:r>
      <w:r w:rsidR="004A111C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(</w:t>
      </w:r>
      <w:hyperlink r:id="rId8" w:history="1">
        <w:r w:rsidR="004A111C" w:rsidRPr="006C6F90">
          <w:rPr>
            <w:rStyle w:val="Hyperlink"/>
            <w:rFonts w:ascii="Arial" w:hAnsi="Arial" w:cs="Arial"/>
            <w:kern w:val="1"/>
            <w:sz w:val="22"/>
            <w:szCs w:val="22"/>
            <w:lang w:eastAsia="ar-SA"/>
          </w:rPr>
          <w:t>https://efondovi.mrrfeu.hr</w:t>
        </w:r>
      </w:hyperlink>
      <w:r w:rsidR="004A111C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).</w:t>
      </w:r>
      <w:r w:rsidRPr="00A32007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</w:t>
      </w:r>
    </w:p>
    <w:p w14:paraId="1A22CBD0" w14:textId="6BCC833E" w:rsidR="00DB7449" w:rsidRPr="00C06761" w:rsidRDefault="00DB7449" w:rsidP="00DB7449">
      <w:pPr>
        <w:suppressAutoHyphens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06761">
        <w:rPr>
          <w:rFonts w:ascii="Arial" w:hAnsi="Arial" w:cs="Arial"/>
          <w:kern w:val="1"/>
          <w:sz w:val="22"/>
          <w:szCs w:val="22"/>
          <w:lang w:eastAsia="ar-SA"/>
        </w:rPr>
        <w:t xml:space="preserve">U sustavu </w:t>
      </w:r>
      <w:proofErr w:type="spellStart"/>
      <w:r w:rsidRPr="00C06761">
        <w:rPr>
          <w:rFonts w:ascii="Arial" w:hAnsi="Arial" w:cs="Arial"/>
          <w:kern w:val="1"/>
          <w:sz w:val="22"/>
          <w:szCs w:val="22"/>
          <w:lang w:eastAsia="ar-SA"/>
        </w:rPr>
        <w:t>eFondovi</w:t>
      </w:r>
      <w:proofErr w:type="spellEnd"/>
      <w:r w:rsidRPr="00C06761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31399E" w:rsidRPr="00C06761">
        <w:rPr>
          <w:rFonts w:ascii="Arial" w:hAnsi="Arial" w:cs="Arial"/>
          <w:kern w:val="1"/>
          <w:sz w:val="22"/>
          <w:szCs w:val="22"/>
          <w:lang w:eastAsia="ar-SA"/>
        </w:rPr>
        <w:t xml:space="preserve">ocjenjivačima će se dodijeliti pravo uvida u projektne prijedloge za koje su zaduženi. </w:t>
      </w:r>
      <w:r w:rsidR="005D6453" w:rsidRPr="00C06761">
        <w:rPr>
          <w:rFonts w:ascii="Arial" w:hAnsi="Arial" w:cs="Arial"/>
          <w:kern w:val="1"/>
          <w:sz w:val="22"/>
          <w:szCs w:val="22"/>
          <w:lang w:eastAsia="ar-SA"/>
        </w:rPr>
        <w:t xml:space="preserve">U slučaju nefunkcionalnosti sustava </w:t>
      </w:r>
      <w:proofErr w:type="spellStart"/>
      <w:r w:rsidR="005D6453" w:rsidRPr="00C06761">
        <w:rPr>
          <w:rFonts w:ascii="Arial" w:hAnsi="Arial" w:cs="Arial"/>
          <w:kern w:val="1"/>
          <w:sz w:val="22"/>
          <w:szCs w:val="22"/>
          <w:lang w:eastAsia="ar-SA"/>
        </w:rPr>
        <w:t>eFondovi</w:t>
      </w:r>
      <w:proofErr w:type="spellEnd"/>
      <w:r w:rsidR="005D6453" w:rsidRPr="00C06761">
        <w:rPr>
          <w:rFonts w:ascii="Arial" w:hAnsi="Arial" w:cs="Arial"/>
          <w:kern w:val="1"/>
          <w:sz w:val="22"/>
          <w:szCs w:val="22"/>
          <w:lang w:eastAsia="ar-SA"/>
        </w:rPr>
        <w:t xml:space="preserve"> u trenutku početka postupka ocjenjivanja kvalitete projektnih prijedloga, stručnjacima će se u digitalnom obliku dostaviti sva dokumentacija potrebna za ocjenu kvalitete. </w:t>
      </w:r>
    </w:p>
    <w:p w14:paraId="43F1A1A3" w14:textId="77777777" w:rsidR="00DB7449" w:rsidRPr="00A32007" w:rsidRDefault="00DB7449" w:rsidP="00DB7449">
      <w:p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sz w:val="22"/>
          <w:szCs w:val="22"/>
          <w:lang w:eastAsia="ar-SA"/>
        </w:rPr>
      </w:pPr>
      <w:r w:rsidRPr="00A32007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>U skladu sa Zajedničkim nacionalnim pravilima, Naručitelj je dužan provesti postupak utvrđivanja postojanja sukoba interesa ili sumnje na sukob interesa na temelju provedenog istraživanja ili provjerom na načine:</w:t>
      </w:r>
    </w:p>
    <w:p w14:paraId="27D2B119" w14:textId="1F9386E1" w:rsidR="00DB7449" w:rsidRPr="00DB26A6" w:rsidRDefault="00DB7449" w:rsidP="00DB26A6">
      <w:pPr>
        <w:pStyle w:val="ListParagraph"/>
        <w:numPr>
          <w:ilvl w:val="0"/>
          <w:numId w:val="15"/>
        </w:num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DB26A6">
        <w:rPr>
          <w:rFonts w:ascii="Arial" w:hAnsi="Arial" w:cs="Arial"/>
          <w:color w:val="000000"/>
          <w:kern w:val="1"/>
          <w:lang w:eastAsia="ar-SA"/>
        </w:rPr>
        <w:t>korištenjem alata za procjenu rizika ARACHNE, ako je dostupan</w:t>
      </w:r>
    </w:p>
    <w:p w14:paraId="58E0DF7A" w14:textId="5FF925F2" w:rsidR="00DB7449" w:rsidRPr="00DB26A6" w:rsidRDefault="00DB7449" w:rsidP="00DB26A6">
      <w:pPr>
        <w:pStyle w:val="ListParagraph"/>
        <w:numPr>
          <w:ilvl w:val="0"/>
          <w:numId w:val="15"/>
        </w:num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DB26A6">
        <w:rPr>
          <w:rFonts w:ascii="Arial" w:hAnsi="Arial" w:cs="Arial"/>
          <w:color w:val="000000"/>
          <w:kern w:val="1"/>
          <w:lang w:eastAsia="ar-SA"/>
        </w:rPr>
        <w:t>uvidom u sudski registar</w:t>
      </w:r>
    </w:p>
    <w:p w14:paraId="45EA2B87" w14:textId="70258F87" w:rsidR="00DB7449" w:rsidRPr="00DB26A6" w:rsidRDefault="00DB7449" w:rsidP="00DB26A6">
      <w:pPr>
        <w:pStyle w:val="ListParagraph"/>
        <w:numPr>
          <w:ilvl w:val="0"/>
          <w:numId w:val="15"/>
        </w:num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DB26A6">
        <w:rPr>
          <w:rFonts w:ascii="Arial" w:hAnsi="Arial" w:cs="Arial"/>
          <w:color w:val="000000"/>
          <w:kern w:val="1"/>
          <w:lang w:eastAsia="ar-SA"/>
        </w:rPr>
        <w:t>na temelju podataka iz baza podataka (relevantnih komora i stručnih tijela, primjerice Hrvatske gospodarske komore, Hrvatske komore inženjera građevinarstva), Poslovn</w:t>
      </w:r>
      <w:r w:rsidR="004130B9">
        <w:rPr>
          <w:rFonts w:ascii="Arial" w:hAnsi="Arial" w:cs="Arial"/>
          <w:color w:val="000000"/>
          <w:kern w:val="1"/>
          <w:lang w:eastAsia="ar-SA"/>
        </w:rPr>
        <w:t>a</w:t>
      </w:r>
      <w:r w:rsidR="00C06761">
        <w:rPr>
          <w:rFonts w:ascii="Arial" w:hAnsi="Arial" w:cs="Arial"/>
          <w:color w:val="000000"/>
          <w:kern w:val="1"/>
          <w:lang w:eastAsia="ar-SA"/>
        </w:rPr>
        <w:t>.</w:t>
      </w:r>
      <w:r w:rsidRPr="00DB26A6">
        <w:rPr>
          <w:rFonts w:ascii="Arial" w:hAnsi="Arial" w:cs="Arial"/>
          <w:color w:val="000000"/>
          <w:kern w:val="1"/>
          <w:lang w:eastAsia="ar-SA"/>
        </w:rPr>
        <w:t>hr</w:t>
      </w:r>
    </w:p>
    <w:p w14:paraId="4394BC93" w14:textId="08BDFB59" w:rsidR="00DB7449" w:rsidRDefault="00DB7449" w:rsidP="00DB26A6">
      <w:pPr>
        <w:pStyle w:val="ListParagraph"/>
        <w:numPr>
          <w:ilvl w:val="0"/>
          <w:numId w:val="15"/>
        </w:num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DB26A6">
        <w:rPr>
          <w:rFonts w:ascii="Arial" w:hAnsi="Arial" w:cs="Arial"/>
          <w:color w:val="000000"/>
          <w:kern w:val="1"/>
          <w:lang w:eastAsia="ar-SA"/>
        </w:rPr>
        <w:t>pretraživanje tražilice s prikazom zaslona s rezultatima tražilice</w:t>
      </w:r>
    </w:p>
    <w:p w14:paraId="77A82FE2" w14:textId="4F699FD4" w:rsidR="004130B9" w:rsidRPr="00DB26A6" w:rsidRDefault="004130B9" w:rsidP="00DB26A6">
      <w:pPr>
        <w:pStyle w:val="ListParagraph"/>
        <w:numPr>
          <w:ilvl w:val="0"/>
          <w:numId w:val="15"/>
        </w:numPr>
        <w:suppressAutoHyphens/>
        <w:spacing w:line="1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>
        <w:rPr>
          <w:rFonts w:ascii="Arial" w:hAnsi="Arial" w:cs="Arial"/>
          <w:color w:val="000000"/>
          <w:kern w:val="1"/>
          <w:lang w:eastAsia="ar-SA"/>
        </w:rPr>
        <w:t>na drugi odgovarajući način</w:t>
      </w:r>
      <w:r w:rsidR="0031399E">
        <w:rPr>
          <w:rFonts w:ascii="Arial" w:hAnsi="Arial" w:cs="Arial"/>
          <w:color w:val="000000"/>
          <w:kern w:val="1"/>
          <w:lang w:eastAsia="ar-SA"/>
        </w:rPr>
        <w:t>.</w:t>
      </w:r>
    </w:p>
    <w:p w14:paraId="27EE1E00" w14:textId="77777777" w:rsidR="00D27AE6" w:rsidRDefault="00D27AE6" w:rsidP="00FA5E0D">
      <w:pPr>
        <w:spacing w:after="200"/>
        <w:contextualSpacing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01BAF7" w14:textId="77777777" w:rsidR="00D27AE6" w:rsidRDefault="00D27AE6" w:rsidP="00FA5E0D">
      <w:pPr>
        <w:spacing w:after="200"/>
        <w:contextualSpacing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3CAF02" w14:textId="494210CE" w:rsidR="00BA66FB" w:rsidRPr="00A32007" w:rsidRDefault="00BA66FB" w:rsidP="00FA5E0D">
      <w:pPr>
        <w:spacing w:after="200"/>
        <w:contextualSpacing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b/>
          <w:sz w:val="22"/>
          <w:szCs w:val="22"/>
          <w:lang w:eastAsia="en-US"/>
        </w:rPr>
        <w:t>OBVEZE PONUDITELJA</w:t>
      </w:r>
    </w:p>
    <w:p w14:paraId="1612C662" w14:textId="30512C66" w:rsidR="00BA66FB" w:rsidRPr="00A32007" w:rsidRDefault="00BA66FB" w:rsidP="004130B9">
      <w:pPr>
        <w:spacing w:after="200"/>
        <w:contextualSpacing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sz w:val="22"/>
          <w:szCs w:val="22"/>
          <w:lang w:eastAsia="en-US"/>
        </w:rPr>
        <w:t>Ponuditelj je dužan osigurati nesmetano provođenje preuzetih aktivnosti s ciljem dostave kvalitetnih i preciznih rezultata rada u zatraženome obliku i ugovorenome roku.</w:t>
      </w:r>
    </w:p>
    <w:p w14:paraId="69514B3B" w14:textId="77777777" w:rsidR="00BA66FB" w:rsidRPr="00A32007" w:rsidRDefault="00BA66FB" w:rsidP="004130B9">
      <w:pPr>
        <w:spacing w:after="200"/>
        <w:contextualSpacing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sz w:val="22"/>
          <w:szCs w:val="22"/>
          <w:lang w:eastAsia="en-US"/>
        </w:rPr>
        <w:t>Ponuditelj i angažirani stručnjaci potpisuju izjavu o tajnosti podataka kojom se obvezuju osigurati tajnost podataka na način da on sam i stručnjaci koje će angažirati neće odavati trećim osobama podatke do kojih su došli u izvršenju posla.</w:t>
      </w:r>
    </w:p>
    <w:p w14:paraId="6EC00806" w14:textId="352123B1" w:rsidR="006C20EB" w:rsidRPr="00A32007" w:rsidRDefault="00BA66FB" w:rsidP="001B2B7B">
      <w:pPr>
        <w:spacing w:after="200"/>
        <w:contextualSpacing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sz w:val="22"/>
          <w:szCs w:val="22"/>
          <w:lang w:eastAsia="en-US"/>
        </w:rPr>
        <w:t>U cilju adekvatne pripreme za provedbu svih aktivnosti te učinkovit</w:t>
      </w:r>
      <w:r w:rsidR="001B2B7B" w:rsidRPr="00A32007">
        <w:rPr>
          <w:rFonts w:ascii="Arial" w:eastAsia="Calibri" w:hAnsi="Arial" w:cs="Arial"/>
          <w:sz w:val="22"/>
          <w:szCs w:val="22"/>
          <w:lang w:eastAsia="en-US"/>
        </w:rPr>
        <w:t>e provedbe istih od odabranog P</w:t>
      </w:r>
      <w:r w:rsidRPr="00A32007">
        <w:rPr>
          <w:rFonts w:ascii="Arial" w:eastAsia="Calibri" w:hAnsi="Arial" w:cs="Arial"/>
          <w:sz w:val="22"/>
          <w:szCs w:val="22"/>
          <w:lang w:eastAsia="en-US"/>
        </w:rPr>
        <w:t>onuditelja će se tražiti da se unaprijed upozna sa svim dokumentima relevantnim za provedbu pojedine aktivnosti te da unaprijed s Naručiteljem dogovori pristup provedbi aktivnosti.</w:t>
      </w:r>
    </w:p>
    <w:p w14:paraId="5800B61B" w14:textId="181A58AE" w:rsidR="006C20EB" w:rsidRPr="00A32007" w:rsidRDefault="006C20EB" w:rsidP="006C20EB">
      <w:pPr>
        <w:spacing w:after="200"/>
        <w:contextualSpacing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32007">
        <w:rPr>
          <w:rFonts w:ascii="Arial" w:hAnsi="Arial" w:cs="Arial"/>
          <w:sz w:val="22"/>
          <w:szCs w:val="22"/>
        </w:rPr>
        <w:t xml:space="preserve">Imenovani stručnjaci koji će sudjelovati u izvršenju ugovora, moraju imati aktivno znanje hrvatskog jezika. Ukoliko stručnjak nema aktivno znanje hrvatskog jezika, obveza je </w:t>
      </w:r>
      <w:r w:rsidR="001B2B7B" w:rsidRPr="00A32007">
        <w:rPr>
          <w:rFonts w:ascii="Arial" w:hAnsi="Arial" w:cs="Arial"/>
          <w:sz w:val="22"/>
          <w:szCs w:val="22"/>
        </w:rPr>
        <w:t>P</w:t>
      </w:r>
      <w:r w:rsidRPr="00A32007">
        <w:rPr>
          <w:rFonts w:ascii="Arial" w:hAnsi="Arial" w:cs="Arial"/>
          <w:sz w:val="22"/>
          <w:szCs w:val="22"/>
        </w:rPr>
        <w:t>onuditelja tijeko</w:t>
      </w:r>
      <w:r w:rsidR="00BC05AF">
        <w:rPr>
          <w:rFonts w:ascii="Arial" w:hAnsi="Arial" w:cs="Arial"/>
          <w:sz w:val="22"/>
          <w:szCs w:val="22"/>
        </w:rPr>
        <w:t>m provedbe osigurati prijevod s</w:t>
      </w:r>
      <w:r w:rsidRPr="00A32007">
        <w:rPr>
          <w:rFonts w:ascii="Arial" w:hAnsi="Arial" w:cs="Arial"/>
          <w:sz w:val="22"/>
          <w:szCs w:val="22"/>
        </w:rPr>
        <w:t xml:space="preserve"> hrvatskog jezika i na hrvatski jezik na vlastiti trošak i odgovornost i na taj način omogućiti nesmetanu komunikaciju s Naručiteljem.</w:t>
      </w:r>
    </w:p>
    <w:p w14:paraId="2E570140" w14:textId="77777777" w:rsidR="00BA66FB" w:rsidRPr="00A32007" w:rsidRDefault="00BA66FB" w:rsidP="00FA5E0D">
      <w:pPr>
        <w:spacing w:after="200"/>
        <w:contextualSpacing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sz w:val="22"/>
          <w:szCs w:val="22"/>
          <w:lang w:eastAsia="en-US"/>
        </w:rPr>
        <w:t>Ponuditelj će, uz ostalo, biti odgovoran za:</w:t>
      </w:r>
    </w:p>
    <w:p w14:paraId="5AD7CD1D" w14:textId="77777777" w:rsidR="00BA66FB" w:rsidRPr="00A32007" w:rsidRDefault="00BA66FB" w:rsidP="00FA5E0D">
      <w:pPr>
        <w:spacing w:after="200"/>
        <w:contextualSpacing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sz w:val="22"/>
          <w:szCs w:val="22"/>
          <w:lang w:eastAsia="en-US"/>
        </w:rPr>
        <w:t>- sve troškove angažiranih stručnjaka nastale provođenjem ugovorenih aktivnosti tijekom razdoblja izvršenja ugovora, primjerice smještaj, prijevoz, osiguranje, troškove komunikacije</w:t>
      </w:r>
    </w:p>
    <w:p w14:paraId="23E4BBB6" w14:textId="77777777" w:rsidR="00BA66FB" w:rsidRPr="00A32007" w:rsidRDefault="00BA66FB" w:rsidP="00FA5E0D">
      <w:pPr>
        <w:spacing w:after="200"/>
        <w:contextualSpacing/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A32007">
        <w:rPr>
          <w:rFonts w:ascii="Arial" w:eastAsia="Calibri" w:hAnsi="Arial" w:cs="Arial"/>
          <w:sz w:val="22"/>
          <w:szCs w:val="22"/>
          <w:lang w:eastAsia="en-US"/>
        </w:rPr>
        <w:t>- svu potrebnu opremu za stručnjake (osobna računala, prijenosna računala).</w:t>
      </w:r>
    </w:p>
    <w:p w14:paraId="5D6709AC" w14:textId="654127F4" w:rsidR="0025092C" w:rsidRPr="00A32007" w:rsidRDefault="00BA66FB" w:rsidP="009737AD">
      <w:pPr>
        <w:spacing w:after="200"/>
        <w:contextualSpacing/>
        <w:jc w:val="both"/>
        <w:outlineLvl w:val="0"/>
      </w:pPr>
      <w:r w:rsidRPr="00211EA2">
        <w:rPr>
          <w:rFonts w:ascii="Arial" w:eastAsia="Calibri" w:hAnsi="Arial" w:cs="Arial"/>
          <w:b/>
          <w:sz w:val="22"/>
          <w:szCs w:val="22"/>
          <w:lang w:eastAsia="en-US"/>
        </w:rPr>
        <w:t>Ponuditelj ne smije za izvršenje ugovora ponuditi stručnjake koji su na bilo koji način bili, jesu ili će biti angažirani na izradi projektnih prijedloga i/ili provedbi projekata u okviru Poziva na dostavu projektnih prijedloga za koje se ugovaraju usluge.</w:t>
      </w:r>
    </w:p>
    <w:sectPr w:rsidR="0025092C" w:rsidRPr="00A32007" w:rsidSect="00D27AE6">
      <w:headerReference w:type="default" r:id="rId9"/>
      <w:footerReference w:type="default" r:id="rId10"/>
      <w:pgSz w:w="11906" w:h="16838"/>
      <w:pgMar w:top="1418" w:right="1417" w:bottom="851" w:left="1417" w:header="5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7C9C" w14:textId="77777777" w:rsidR="00082DF1" w:rsidRDefault="00082DF1" w:rsidP="00F530D6">
      <w:r>
        <w:separator/>
      </w:r>
    </w:p>
  </w:endnote>
  <w:endnote w:type="continuationSeparator" w:id="0">
    <w:p w14:paraId="216B6F3B" w14:textId="77777777" w:rsidR="00082DF1" w:rsidRDefault="00082DF1" w:rsidP="00F5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611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8E5927" w14:textId="3FA29F0D" w:rsidR="00C06761" w:rsidRPr="00D27AE6" w:rsidRDefault="00C06761">
        <w:pPr>
          <w:pStyle w:val="Footer"/>
          <w:jc w:val="right"/>
          <w:rPr>
            <w:sz w:val="18"/>
            <w:szCs w:val="18"/>
          </w:rPr>
        </w:pPr>
        <w:r w:rsidRPr="00D27AE6">
          <w:rPr>
            <w:sz w:val="18"/>
            <w:szCs w:val="18"/>
          </w:rPr>
          <w:fldChar w:fldCharType="begin"/>
        </w:r>
        <w:r w:rsidRPr="00D27AE6">
          <w:rPr>
            <w:sz w:val="18"/>
            <w:szCs w:val="18"/>
          </w:rPr>
          <w:instrText>PAGE   \* MERGEFORMAT</w:instrText>
        </w:r>
        <w:r w:rsidRPr="00D27AE6">
          <w:rPr>
            <w:sz w:val="18"/>
            <w:szCs w:val="18"/>
          </w:rPr>
          <w:fldChar w:fldCharType="separate"/>
        </w:r>
        <w:r w:rsidR="0063768C">
          <w:rPr>
            <w:noProof/>
            <w:sz w:val="18"/>
            <w:szCs w:val="18"/>
          </w:rPr>
          <w:t>3</w:t>
        </w:r>
        <w:r w:rsidRPr="00D27AE6">
          <w:rPr>
            <w:sz w:val="18"/>
            <w:szCs w:val="18"/>
          </w:rPr>
          <w:fldChar w:fldCharType="end"/>
        </w:r>
      </w:p>
    </w:sdtContent>
  </w:sdt>
  <w:p w14:paraId="522342F7" w14:textId="77777777" w:rsidR="00C06761" w:rsidRDefault="00C06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4824F" w14:textId="77777777" w:rsidR="00082DF1" w:rsidRDefault="00082DF1" w:rsidP="00F530D6">
      <w:r>
        <w:separator/>
      </w:r>
    </w:p>
  </w:footnote>
  <w:footnote w:type="continuationSeparator" w:id="0">
    <w:p w14:paraId="57C39891" w14:textId="77777777" w:rsidR="00082DF1" w:rsidRDefault="00082DF1" w:rsidP="00F5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BA2C" w14:textId="77777777" w:rsidR="003A2171" w:rsidRDefault="003A2171" w:rsidP="003A2171">
    <w:pPr>
      <w:pStyle w:val="Header"/>
      <w:spacing w:after="240"/>
      <w:jc w:val="center"/>
      <w:rPr>
        <w:rFonts w:ascii="Arial" w:hAnsi="Arial" w:cs="Arial"/>
        <w:b/>
        <w:bCs/>
        <w:sz w:val="20"/>
        <w:szCs w:val="20"/>
      </w:rPr>
    </w:pPr>
    <w:r w:rsidRPr="00B66541">
      <w:rPr>
        <w:noProof/>
      </w:rPr>
      <w:drawing>
        <wp:inline distT="0" distB="0" distL="0" distR="0" wp14:anchorId="7641B2F6" wp14:editId="517B8F36">
          <wp:extent cx="4911924" cy="959485"/>
          <wp:effectExtent l="0" t="0" r="3175" b="0"/>
          <wp:docPr id="4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" t="11127" r="4597" b="32757"/>
                  <a:stretch/>
                </pic:blipFill>
                <pic:spPr bwMode="auto">
                  <a:xfrm>
                    <a:off x="0" y="0"/>
                    <a:ext cx="5087655" cy="993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 xml:space="preserve">                   </w:t>
    </w:r>
    <w:r>
      <w:rPr>
        <w:rFonts w:ascii="Arial" w:hAnsi="Arial" w:cs="Arial"/>
        <w:b/>
        <w:bCs/>
        <w:sz w:val="20"/>
        <w:szCs w:val="20"/>
      </w:rPr>
      <w:t>EU projekt KK.10.1.1.02.0005 Grad Split – ITU tehnička pomoć</w:t>
    </w:r>
  </w:p>
  <w:p w14:paraId="768C0FA9" w14:textId="77777777" w:rsidR="003A2171" w:rsidRPr="00333DC1" w:rsidRDefault="003A2171" w:rsidP="003A2171">
    <w:pPr>
      <w:pStyle w:val="Header"/>
      <w:jc w:val="center"/>
      <w:rPr>
        <w:rFonts w:ascii="Arial" w:hAnsi="Arial" w:cs="Arial"/>
        <w:noProof/>
        <w:sz w:val="18"/>
        <w:szCs w:val="18"/>
        <w:lang w:val="en-GB" w:eastAsia="en-GB"/>
      </w:rPr>
    </w:pPr>
    <w:r w:rsidRPr="00333DC1">
      <w:rPr>
        <w:rFonts w:ascii="Arial" w:hAnsi="Arial" w:cs="Arial"/>
        <w:b/>
        <w:bCs/>
        <w:sz w:val="18"/>
        <w:szCs w:val="18"/>
      </w:rPr>
      <w:t>Nabava intelektualne usluge vanjskih stručnjaka vezane uz ocjenu projektnih prijedloga</w:t>
    </w:r>
    <w:r w:rsidRPr="00333DC1">
      <w:rPr>
        <w:rFonts w:ascii="Arial" w:hAnsi="Arial" w:cs="Arial"/>
        <w:noProof/>
        <w:sz w:val="18"/>
        <w:szCs w:val="18"/>
        <w:lang w:val="en-GB" w:eastAsia="en-GB"/>
      </w:rPr>
      <w:t xml:space="preserve"> </w:t>
    </w:r>
    <w:r w:rsidRPr="00333DC1">
      <w:rPr>
        <w:rFonts w:ascii="Arial" w:hAnsi="Arial" w:cs="Arial"/>
        <w:b/>
        <w:noProof/>
        <w:sz w:val="18"/>
        <w:szCs w:val="18"/>
        <w:lang w:val="en-GB" w:eastAsia="en-GB"/>
      </w:rPr>
      <w:t>iz ITU mehanizma</w:t>
    </w:r>
  </w:p>
  <w:p w14:paraId="3D3B3894" w14:textId="1AE60EDE" w:rsidR="00F530D6" w:rsidRDefault="00F530D6" w:rsidP="002711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8C0FD2"/>
    <w:multiLevelType w:val="hybridMultilevel"/>
    <w:tmpl w:val="14D240BA"/>
    <w:lvl w:ilvl="0" w:tplc="66844C92">
      <w:numFmt w:val="bullet"/>
      <w:lvlText w:val="-"/>
      <w:lvlJc w:val="left"/>
      <w:pPr>
        <w:ind w:left="502" w:hanging="142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64B"/>
    <w:multiLevelType w:val="hybridMultilevel"/>
    <w:tmpl w:val="54BE6724"/>
    <w:lvl w:ilvl="0" w:tplc="09EE5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66C9B"/>
    <w:multiLevelType w:val="hybridMultilevel"/>
    <w:tmpl w:val="920413F6"/>
    <w:lvl w:ilvl="0" w:tplc="09EE5C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673464"/>
    <w:multiLevelType w:val="hybridMultilevel"/>
    <w:tmpl w:val="3B802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2027"/>
    <w:multiLevelType w:val="hybridMultilevel"/>
    <w:tmpl w:val="EDBE1052"/>
    <w:lvl w:ilvl="0" w:tplc="9AFA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084D"/>
    <w:multiLevelType w:val="hybridMultilevel"/>
    <w:tmpl w:val="3D682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08DE"/>
    <w:multiLevelType w:val="hybridMultilevel"/>
    <w:tmpl w:val="9A08AFF8"/>
    <w:lvl w:ilvl="0" w:tplc="09EE5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B455E"/>
    <w:multiLevelType w:val="hybridMultilevel"/>
    <w:tmpl w:val="B192A42A"/>
    <w:lvl w:ilvl="0" w:tplc="09EE5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33666"/>
    <w:multiLevelType w:val="hybridMultilevel"/>
    <w:tmpl w:val="4F026568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33939"/>
    <w:multiLevelType w:val="hybridMultilevel"/>
    <w:tmpl w:val="0742E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87EC8"/>
    <w:multiLevelType w:val="hybridMultilevel"/>
    <w:tmpl w:val="62E6979E"/>
    <w:lvl w:ilvl="0" w:tplc="EA0208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76B27"/>
    <w:multiLevelType w:val="hybridMultilevel"/>
    <w:tmpl w:val="8AF8D640"/>
    <w:lvl w:ilvl="0" w:tplc="F2FE93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23B55A6"/>
    <w:multiLevelType w:val="hybridMultilevel"/>
    <w:tmpl w:val="273236C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16A5"/>
    <w:multiLevelType w:val="hybridMultilevel"/>
    <w:tmpl w:val="186C6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C4323"/>
    <w:multiLevelType w:val="hybridMultilevel"/>
    <w:tmpl w:val="C7BC2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E7E6B"/>
    <w:multiLevelType w:val="hybridMultilevel"/>
    <w:tmpl w:val="3E186AD8"/>
    <w:lvl w:ilvl="0" w:tplc="8C0C37D8">
      <w:numFmt w:val="bullet"/>
      <w:lvlText w:val="-"/>
      <w:lvlJc w:val="left"/>
      <w:pPr>
        <w:ind w:left="651" w:hanging="367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D16C2"/>
    <w:multiLevelType w:val="hybridMultilevel"/>
    <w:tmpl w:val="A51A5A5C"/>
    <w:lvl w:ilvl="0" w:tplc="09EE5C34">
      <w:start w:val="1"/>
      <w:numFmt w:val="bullet"/>
      <w:lvlText w:val=""/>
      <w:lvlJc w:val="left"/>
      <w:pPr>
        <w:ind w:left="502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64404"/>
    <w:multiLevelType w:val="hybridMultilevel"/>
    <w:tmpl w:val="36166CF6"/>
    <w:lvl w:ilvl="0" w:tplc="A5AC66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9A90DC9"/>
    <w:multiLevelType w:val="hybridMultilevel"/>
    <w:tmpl w:val="ADE8088C"/>
    <w:lvl w:ilvl="0" w:tplc="8C0C37D8">
      <w:numFmt w:val="bullet"/>
      <w:lvlText w:val="-"/>
      <w:lvlJc w:val="left"/>
      <w:pPr>
        <w:ind w:left="651" w:hanging="367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AD17F7C"/>
    <w:multiLevelType w:val="hybridMultilevel"/>
    <w:tmpl w:val="078E2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D5EAC"/>
    <w:multiLevelType w:val="hybridMultilevel"/>
    <w:tmpl w:val="7FC87C2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80808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21"/>
  </w:num>
  <w:num w:numId="14">
    <w:abstractNumId w:val="4"/>
  </w:num>
  <w:num w:numId="15">
    <w:abstractNumId w:val="3"/>
  </w:num>
  <w:num w:numId="16">
    <w:abstractNumId w:val="19"/>
  </w:num>
  <w:num w:numId="17">
    <w:abstractNumId w:val="16"/>
  </w:num>
  <w:num w:numId="18">
    <w:abstractNumId w:val="1"/>
  </w:num>
  <w:num w:numId="19">
    <w:abstractNumId w:val="17"/>
  </w:num>
  <w:num w:numId="20">
    <w:abstractNumId w:val="1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67"/>
    <w:rsid w:val="00005AE1"/>
    <w:rsid w:val="000102D2"/>
    <w:rsid w:val="00027378"/>
    <w:rsid w:val="00042FE6"/>
    <w:rsid w:val="00082DF1"/>
    <w:rsid w:val="00082EC5"/>
    <w:rsid w:val="000B45E6"/>
    <w:rsid w:val="000B744A"/>
    <w:rsid w:val="000D71BC"/>
    <w:rsid w:val="000E7731"/>
    <w:rsid w:val="000F2955"/>
    <w:rsid w:val="000F7F82"/>
    <w:rsid w:val="00105B33"/>
    <w:rsid w:val="00117BE1"/>
    <w:rsid w:val="001379E1"/>
    <w:rsid w:val="00156057"/>
    <w:rsid w:val="00156DFF"/>
    <w:rsid w:val="00162E80"/>
    <w:rsid w:val="00167474"/>
    <w:rsid w:val="001841A2"/>
    <w:rsid w:val="001A1086"/>
    <w:rsid w:val="001A77BE"/>
    <w:rsid w:val="001B2B7B"/>
    <w:rsid w:val="001C491B"/>
    <w:rsid w:val="001D079C"/>
    <w:rsid w:val="001F6FEE"/>
    <w:rsid w:val="00211EA2"/>
    <w:rsid w:val="00234EE6"/>
    <w:rsid w:val="0025092C"/>
    <w:rsid w:val="0025742A"/>
    <w:rsid w:val="00270927"/>
    <w:rsid w:val="00271194"/>
    <w:rsid w:val="002725CA"/>
    <w:rsid w:val="00277A07"/>
    <w:rsid w:val="00287C3D"/>
    <w:rsid w:val="002A1852"/>
    <w:rsid w:val="002B1621"/>
    <w:rsid w:val="002C2E01"/>
    <w:rsid w:val="002D402D"/>
    <w:rsid w:val="00303E07"/>
    <w:rsid w:val="0031399E"/>
    <w:rsid w:val="0033043F"/>
    <w:rsid w:val="00330BF8"/>
    <w:rsid w:val="00331309"/>
    <w:rsid w:val="003447E3"/>
    <w:rsid w:val="00370639"/>
    <w:rsid w:val="00376E63"/>
    <w:rsid w:val="003A2171"/>
    <w:rsid w:val="003A6839"/>
    <w:rsid w:val="003B0A24"/>
    <w:rsid w:val="003B3B89"/>
    <w:rsid w:val="003B7DF2"/>
    <w:rsid w:val="003C0E98"/>
    <w:rsid w:val="003D6506"/>
    <w:rsid w:val="003E3842"/>
    <w:rsid w:val="003E73BE"/>
    <w:rsid w:val="003F0A83"/>
    <w:rsid w:val="004012AA"/>
    <w:rsid w:val="004130B9"/>
    <w:rsid w:val="00413F0E"/>
    <w:rsid w:val="0042610C"/>
    <w:rsid w:val="0042728C"/>
    <w:rsid w:val="00427788"/>
    <w:rsid w:val="004420A9"/>
    <w:rsid w:val="0044518F"/>
    <w:rsid w:val="00447293"/>
    <w:rsid w:val="00452927"/>
    <w:rsid w:val="00467A29"/>
    <w:rsid w:val="00475C73"/>
    <w:rsid w:val="004926EB"/>
    <w:rsid w:val="004A111C"/>
    <w:rsid w:val="004A4602"/>
    <w:rsid w:val="004B3FDF"/>
    <w:rsid w:val="004C085F"/>
    <w:rsid w:val="004D2CE9"/>
    <w:rsid w:val="004D3493"/>
    <w:rsid w:val="00500DB6"/>
    <w:rsid w:val="00527222"/>
    <w:rsid w:val="00562883"/>
    <w:rsid w:val="00586E0F"/>
    <w:rsid w:val="005927EA"/>
    <w:rsid w:val="00596667"/>
    <w:rsid w:val="005D6453"/>
    <w:rsid w:val="005E279C"/>
    <w:rsid w:val="00603AE2"/>
    <w:rsid w:val="006048FB"/>
    <w:rsid w:val="0060565E"/>
    <w:rsid w:val="006157FD"/>
    <w:rsid w:val="0062275C"/>
    <w:rsid w:val="0062347B"/>
    <w:rsid w:val="006253BC"/>
    <w:rsid w:val="00627B3E"/>
    <w:rsid w:val="00630C9E"/>
    <w:rsid w:val="0063768C"/>
    <w:rsid w:val="00645EED"/>
    <w:rsid w:val="00646750"/>
    <w:rsid w:val="00651B86"/>
    <w:rsid w:val="00660187"/>
    <w:rsid w:val="006734DD"/>
    <w:rsid w:val="00674555"/>
    <w:rsid w:val="006822C6"/>
    <w:rsid w:val="006870D1"/>
    <w:rsid w:val="00696719"/>
    <w:rsid w:val="006C20EB"/>
    <w:rsid w:val="006E5261"/>
    <w:rsid w:val="006F58F0"/>
    <w:rsid w:val="0075259C"/>
    <w:rsid w:val="007565E0"/>
    <w:rsid w:val="0077113F"/>
    <w:rsid w:val="00772B6C"/>
    <w:rsid w:val="00793B98"/>
    <w:rsid w:val="007A045F"/>
    <w:rsid w:val="007B0134"/>
    <w:rsid w:val="007C0049"/>
    <w:rsid w:val="007C5F77"/>
    <w:rsid w:val="007C7F63"/>
    <w:rsid w:val="007E18AF"/>
    <w:rsid w:val="007F099C"/>
    <w:rsid w:val="008134C8"/>
    <w:rsid w:val="0083637F"/>
    <w:rsid w:val="00836DBB"/>
    <w:rsid w:val="008507C0"/>
    <w:rsid w:val="0085595C"/>
    <w:rsid w:val="0085729F"/>
    <w:rsid w:val="00877795"/>
    <w:rsid w:val="00894468"/>
    <w:rsid w:val="00894BD8"/>
    <w:rsid w:val="008D179A"/>
    <w:rsid w:val="008D1EF8"/>
    <w:rsid w:val="008D42DD"/>
    <w:rsid w:val="008E6B5B"/>
    <w:rsid w:val="008F6F8A"/>
    <w:rsid w:val="00912F93"/>
    <w:rsid w:val="00927C00"/>
    <w:rsid w:val="00952785"/>
    <w:rsid w:val="009737AD"/>
    <w:rsid w:val="00974BB2"/>
    <w:rsid w:val="009967A3"/>
    <w:rsid w:val="009A7C9C"/>
    <w:rsid w:val="009A7E4E"/>
    <w:rsid w:val="009B6CD4"/>
    <w:rsid w:val="009D7865"/>
    <w:rsid w:val="009E448E"/>
    <w:rsid w:val="009F5F95"/>
    <w:rsid w:val="00A1032A"/>
    <w:rsid w:val="00A2147B"/>
    <w:rsid w:val="00A23F57"/>
    <w:rsid w:val="00A32007"/>
    <w:rsid w:val="00A32740"/>
    <w:rsid w:val="00A43808"/>
    <w:rsid w:val="00A44629"/>
    <w:rsid w:val="00A508BA"/>
    <w:rsid w:val="00A5452C"/>
    <w:rsid w:val="00A9544D"/>
    <w:rsid w:val="00AA2E29"/>
    <w:rsid w:val="00AB090E"/>
    <w:rsid w:val="00AF4CF9"/>
    <w:rsid w:val="00AF5467"/>
    <w:rsid w:val="00AF5CE3"/>
    <w:rsid w:val="00AF6E11"/>
    <w:rsid w:val="00B01996"/>
    <w:rsid w:val="00B11676"/>
    <w:rsid w:val="00B20993"/>
    <w:rsid w:val="00B26039"/>
    <w:rsid w:val="00B2721D"/>
    <w:rsid w:val="00B809A2"/>
    <w:rsid w:val="00B83003"/>
    <w:rsid w:val="00BA66FB"/>
    <w:rsid w:val="00BB2496"/>
    <w:rsid w:val="00BC05AF"/>
    <w:rsid w:val="00BF4A89"/>
    <w:rsid w:val="00C02011"/>
    <w:rsid w:val="00C06761"/>
    <w:rsid w:val="00C12815"/>
    <w:rsid w:val="00C778FB"/>
    <w:rsid w:val="00C861BD"/>
    <w:rsid w:val="00C8675E"/>
    <w:rsid w:val="00CB3468"/>
    <w:rsid w:val="00CB3A30"/>
    <w:rsid w:val="00CB5AFB"/>
    <w:rsid w:val="00CC1ECE"/>
    <w:rsid w:val="00CD03A8"/>
    <w:rsid w:val="00CE2C33"/>
    <w:rsid w:val="00CF1F49"/>
    <w:rsid w:val="00CF7841"/>
    <w:rsid w:val="00D00968"/>
    <w:rsid w:val="00D27AE6"/>
    <w:rsid w:val="00D33541"/>
    <w:rsid w:val="00D67173"/>
    <w:rsid w:val="00D67D7B"/>
    <w:rsid w:val="00D84484"/>
    <w:rsid w:val="00D93D9D"/>
    <w:rsid w:val="00D95C57"/>
    <w:rsid w:val="00DB26A6"/>
    <w:rsid w:val="00DB7449"/>
    <w:rsid w:val="00DD228B"/>
    <w:rsid w:val="00DD2D68"/>
    <w:rsid w:val="00DE42EF"/>
    <w:rsid w:val="00E06867"/>
    <w:rsid w:val="00E06E47"/>
    <w:rsid w:val="00E269C9"/>
    <w:rsid w:val="00E4251C"/>
    <w:rsid w:val="00E8423E"/>
    <w:rsid w:val="00E84A67"/>
    <w:rsid w:val="00E9019C"/>
    <w:rsid w:val="00E9081B"/>
    <w:rsid w:val="00E97A64"/>
    <w:rsid w:val="00EA1EFE"/>
    <w:rsid w:val="00EA5129"/>
    <w:rsid w:val="00EA58D3"/>
    <w:rsid w:val="00EB71C8"/>
    <w:rsid w:val="00EF2DFB"/>
    <w:rsid w:val="00F21461"/>
    <w:rsid w:val="00F241E0"/>
    <w:rsid w:val="00F27B8F"/>
    <w:rsid w:val="00F3528E"/>
    <w:rsid w:val="00F530D6"/>
    <w:rsid w:val="00F63BCC"/>
    <w:rsid w:val="00F75655"/>
    <w:rsid w:val="00F83625"/>
    <w:rsid w:val="00F96C61"/>
    <w:rsid w:val="00FA5E0D"/>
    <w:rsid w:val="00FB4FA5"/>
    <w:rsid w:val="00FC141F"/>
    <w:rsid w:val="00FD1CE2"/>
    <w:rsid w:val="00FE4123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6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"/>
    <w:basedOn w:val="Normal"/>
    <w:link w:val="ListParagraphChar"/>
    <w:uiPriority w:val="34"/>
    <w:qFormat/>
    <w:rsid w:val="00156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12 Char,heading 1 Char,naslov 1 Char,Naslov 12 Char,Graf Char"/>
    <w:link w:val="ListParagraph"/>
    <w:uiPriority w:val="34"/>
    <w:locked/>
    <w:rsid w:val="00156DFF"/>
    <w:rPr>
      <w:rFonts w:ascii="Calibri" w:eastAsia="Calibri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530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0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530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D6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34C8"/>
    <w:pPr>
      <w:widowControl w:val="0"/>
      <w:autoSpaceDE w:val="0"/>
      <w:autoSpaceDN w:val="0"/>
      <w:spacing w:line="223" w:lineRule="exact"/>
    </w:pPr>
    <w:rPr>
      <w:sz w:val="22"/>
      <w:szCs w:val="22"/>
      <w:lang w:bidi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7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7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630C9E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0C9E"/>
    <w:rPr>
      <w:rFonts w:ascii="Arial" w:eastAsia="Times New Roman" w:hAnsi="Arial" w:cs="Arial"/>
      <w:b/>
      <w:lang w:eastAsia="hr-HR"/>
    </w:rPr>
  </w:style>
  <w:style w:type="paragraph" w:styleId="BodyText2">
    <w:name w:val="Body Text 2"/>
    <w:basedOn w:val="Normal"/>
    <w:link w:val="BodyText2Char"/>
    <w:uiPriority w:val="99"/>
    <w:unhideWhenUsed/>
    <w:rsid w:val="00EF2DFB"/>
    <w:pPr>
      <w:autoSpaceDE w:val="0"/>
      <w:autoSpaceDN w:val="0"/>
      <w:adjustRightInd w:val="0"/>
      <w:ind w:right="-2"/>
      <w:jc w:val="both"/>
    </w:pPr>
    <w:rPr>
      <w:rFonts w:ascii="Arial" w:hAnsi="Arial" w:cs="Arial"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EF2DFB"/>
    <w:rPr>
      <w:rFonts w:ascii="Arial" w:eastAsia="Times New Roman" w:hAnsi="Arial" w:cs="Arial"/>
      <w:bCs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A1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heading 1,naslov 1,Naslov 12,Graf"/>
    <w:basedOn w:val="Normal"/>
    <w:link w:val="ListParagraphChar"/>
    <w:uiPriority w:val="34"/>
    <w:qFormat/>
    <w:rsid w:val="00156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12 Char,heading 1 Char,naslov 1 Char,Naslov 12 Char,Graf Char"/>
    <w:link w:val="ListParagraph"/>
    <w:uiPriority w:val="34"/>
    <w:locked/>
    <w:rsid w:val="00156DFF"/>
    <w:rPr>
      <w:rFonts w:ascii="Calibri" w:eastAsia="Calibri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530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0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530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D6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5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34C8"/>
    <w:pPr>
      <w:widowControl w:val="0"/>
      <w:autoSpaceDE w:val="0"/>
      <w:autoSpaceDN w:val="0"/>
      <w:spacing w:line="223" w:lineRule="exact"/>
    </w:pPr>
    <w:rPr>
      <w:sz w:val="22"/>
      <w:szCs w:val="22"/>
      <w:lang w:bidi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7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7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630C9E"/>
    <w:pPr>
      <w:jc w:val="both"/>
    </w:pPr>
    <w:rPr>
      <w:rFonts w:ascii="Arial" w:hAnsi="Arial" w:cs="Arial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0C9E"/>
    <w:rPr>
      <w:rFonts w:ascii="Arial" w:eastAsia="Times New Roman" w:hAnsi="Arial" w:cs="Arial"/>
      <w:b/>
      <w:lang w:eastAsia="hr-HR"/>
    </w:rPr>
  </w:style>
  <w:style w:type="paragraph" w:styleId="BodyText2">
    <w:name w:val="Body Text 2"/>
    <w:basedOn w:val="Normal"/>
    <w:link w:val="BodyText2Char"/>
    <w:uiPriority w:val="99"/>
    <w:unhideWhenUsed/>
    <w:rsid w:val="00EF2DFB"/>
    <w:pPr>
      <w:autoSpaceDE w:val="0"/>
      <w:autoSpaceDN w:val="0"/>
      <w:adjustRightInd w:val="0"/>
      <w:ind w:right="-2"/>
      <w:jc w:val="both"/>
    </w:pPr>
    <w:rPr>
      <w:rFonts w:ascii="Arial" w:hAnsi="Arial" w:cs="Arial"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EF2DFB"/>
    <w:rPr>
      <w:rFonts w:ascii="Arial" w:eastAsia="Times New Roman" w:hAnsi="Arial" w:cs="Arial"/>
      <w:bCs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A1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ndovi.mrrfe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Jerkunica</dc:creator>
  <cp:lastModifiedBy>Marijana Kirevski</cp:lastModifiedBy>
  <cp:revision>6</cp:revision>
  <cp:lastPrinted>2018-07-11T13:06:00Z</cp:lastPrinted>
  <dcterms:created xsi:type="dcterms:W3CDTF">2018-12-21T08:34:00Z</dcterms:created>
  <dcterms:modified xsi:type="dcterms:W3CDTF">2019-01-07T12:36:00Z</dcterms:modified>
</cp:coreProperties>
</file>